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94F" w:rsidRPr="00FD194F" w:rsidRDefault="00FD194F" w:rsidP="00FD194F">
      <w:pPr>
        <w:spacing w:after="240" w:line="240" w:lineRule="auto"/>
        <w:rPr>
          <w:rFonts w:ascii="Times New Roman" w:eastAsia="Times New Roman" w:hAnsi="Times New Roman" w:cs="Times New Roman"/>
          <w:sz w:val="24"/>
          <w:szCs w:val="24"/>
        </w:rPr>
      </w:pPr>
    </w:p>
    <w:p w:rsidR="004C119A" w:rsidRDefault="004C119A" w:rsidP="00FD194F">
      <w:pPr>
        <w:spacing w:after="0" w:line="240" w:lineRule="auto"/>
        <w:rPr>
          <w:rFonts w:ascii="Arial" w:eastAsia="Times New Roman" w:hAnsi="Arial" w:cs="Arial"/>
          <w:b/>
          <w:bCs/>
          <w:color w:val="000000"/>
          <w:sz w:val="32"/>
          <w:szCs w:val="32"/>
        </w:rPr>
      </w:pPr>
    </w:p>
    <w:p w:rsidR="007C6E3D" w:rsidRPr="007C6E3D" w:rsidRDefault="007C6E3D" w:rsidP="007C6E3D">
      <w:pPr>
        <w:shd w:val="clear" w:color="auto" w:fill="0070C0"/>
        <w:jc w:val="right"/>
        <w:rPr>
          <w:rFonts w:ascii="Arial" w:hAnsi="Arial" w:cs="Arial"/>
          <w:b/>
          <w:color w:val="FFFFFF" w:themeColor="background1"/>
          <w:sz w:val="36"/>
          <w:szCs w:val="36"/>
          <w:lang w:val="mk-MK"/>
        </w:rPr>
      </w:pPr>
      <w:r w:rsidRPr="007C6E3D">
        <w:rPr>
          <w:rFonts w:ascii="Arial" w:hAnsi="Arial" w:cs="Arial"/>
          <w:b/>
          <w:color w:val="FFFFFF" w:themeColor="background1"/>
          <w:sz w:val="36"/>
          <w:szCs w:val="36"/>
          <w:lang w:val="mk-MK"/>
        </w:rPr>
        <w:t>Соопштение до јавноста</w:t>
      </w:r>
    </w:p>
    <w:p w:rsidR="007C6E3D" w:rsidRPr="004C119A" w:rsidRDefault="007C6E3D" w:rsidP="007C6E3D">
      <w:pPr>
        <w:jc w:val="right"/>
        <w:rPr>
          <w:rFonts w:ascii="Arial" w:hAnsi="Arial" w:cs="Arial"/>
          <w:b/>
          <w:sz w:val="28"/>
          <w:szCs w:val="28"/>
          <w:lang w:val="sr-Latn-RS"/>
        </w:rPr>
      </w:pPr>
      <w:r w:rsidRPr="004C119A">
        <w:rPr>
          <w:rFonts w:ascii="Arial" w:hAnsi="Arial" w:cs="Arial"/>
          <w:b/>
          <w:sz w:val="28"/>
          <w:szCs w:val="28"/>
          <w:lang w:val="mk-MK"/>
        </w:rPr>
        <w:t>10 ноември 2022</w:t>
      </w:r>
      <w:r w:rsidRPr="004C119A">
        <w:rPr>
          <w:rFonts w:ascii="Arial" w:hAnsi="Arial" w:cs="Arial"/>
          <w:sz w:val="28"/>
          <w:szCs w:val="28"/>
          <w:lang w:val="mk-MK"/>
        </w:rPr>
        <w:t xml:space="preserve"> </w:t>
      </w:r>
    </w:p>
    <w:p w:rsidR="006A74F1" w:rsidRPr="006A74F1" w:rsidRDefault="006A74F1" w:rsidP="006A74F1">
      <w:pPr>
        <w:jc w:val="right"/>
        <w:rPr>
          <w:rFonts w:ascii="Arial" w:hAnsi="Arial" w:cs="Arial"/>
          <w:lang w:val="sr-Latn-RS"/>
        </w:rPr>
      </w:pPr>
      <w:hyperlink r:id="rId8" w:history="1">
        <w:r w:rsidRPr="006A74F1">
          <w:rPr>
            <w:rStyle w:val="Hyperlink"/>
            <w:rFonts w:ascii="Arial" w:hAnsi="Arial" w:cs="Arial"/>
            <w:lang w:val="sr-Latn-RS"/>
          </w:rPr>
          <w:t>Link to PR in English on CAN Europe website</w:t>
        </w:r>
      </w:hyperlink>
    </w:p>
    <w:p w:rsidR="006A74F1" w:rsidRDefault="006A74F1" w:rsidP="007C6E3D">
      <w:pPr>
        <w:rPr>
          <w:rFonts w:ascii="Arial" w:hAnsi="Arial" w:cs="Arial"/>
          <w:b/>
          <w:lang w:val="mk-MK"/>
        </w:rPr>
      </w:pPr>
    </w:p>
    <w:p w:rsidR="007C6E3D" w:rsidRPr="006A74F1" w:rsidRDefault="007C6E3D" w:rsidP="007C6E3D">
      <w:pPr>
        <w:rPr>
          <w:rFonts w:ascii="Arial" w:hAnsi="Arial" w:cs="Arial"/>
          <w:lang w:val="mk-MK"/>
        </w:rPr>
      </w:pPr>
      <w:r w:rsidRPr="00B738B8">
        <w:rPr>
          <w:rFonts w:ascii="Arial" w:hAnsi="Arial" w:cs="Arial"/>
          <w:b/>
          <w:lang w:val="mk-MK"/>
        </w:rPr>
        <w:t>Две години после Софија: Ограничен напредок во националните климатски и енергетски планови на Западен Балкан, предупредува нов извештај од Мрежата за климатска акција на Европа</w:t>
      </w:r>
    </w:p>
    <w:p w:rsidR="007C6E3D" w:rsidRPr="00B738B8" w:rsidRDefault="007C6E3D" w:rsidP="007C6E3D">
      <w:pPr>
        <w:pStyle w:val="ListParagraph"/>
        <w:numPr>
          <w:ilvl w:val="0"/>
          <w:numId w:val="5"/>
        </w:numPr>
        <w:rPr>
          <w:rFonts w:ascii="Arial" w:hAnsi="Arial" w:cs="Arial"/>
          <w:lang w:val="mk-MK"/>
        </w:rPr>
      </w:pPr>
      <w:r w:rsidRPr="00B738B8">
        <w:rPr>
          <w:rFonts w:ascii="Arial" w:hAnsi="Arial" w:cs="Arial"/>
          <w:lang w:val="mk-MK"/>
        </w:rPr>
        <w:t xml:space="preserve">Анализата на Националните енергетски и климатски планови во Западен Балкан спроведена од </w:t>
      </w:r>
      <w:r w:rsidRPr="00B738B8">
        <w:rPr>
          <w:rFonts w:ascii="Arial" w:hAnsi="Arial" w:cs="Arial"/>
        </w:rPr>
        <w:t>M</w:t>
      </w:r>
      <w:r w:rsidRPr="00B738B8">
        <w:rPr>
          <w:rFonts w:ascii="Arial" w:hAnsi="Arial" w:cs="Arial"/>
          <w:lang w:val="mk-MK"/>
        </w:rPr>
        <w:t xml:space="preserve">режата за климатска акција на Европа </w:t>
      </w:r>
      <w:r w:rsidRPr="00B738B8">
        <w:rPr>
          <w:rFonts w:ascii="Arial" w:hAnsi="Arial" w:cs="Arial"/>
        </w:rPr>
        <w:t xml:space="preserve">(CAN Europe) </w:t>
      </w:r>
      <w:r w:rsidRPr="00B738B8">
        <w:rPr>
          <w:rFonts w:ascii="Arial" w:hAnsi="Arial" w:cs="Arial"/>
          <w:lang w:val="mk-MK"/>
        </w:rPr>
        <w:t>покажува дека регионот мора да ја забрза динамиката доколку сака да ги постигне целите за климатска неутралност</w:t>
      </w:r>
    </w:p>
    <w:p w:rsidR="006A74F1" w:rsidRDefault="007C6E3D" w:rsidP="007C6E3D">
      <w:pPr>
        <w:pStyle w:val="ListParagraph"/>
        <w:numPr>
          <w:ilvl w:val="0"/>
          <w:numId w:val="5"/>
        </w:numPr>
        <w:rPr>
          <w:rFonts w:ascii="Arial" w:hAnsi="Arial" w:cs="Arial"/>
          <w:lang w:val="mk-MK"/>
        </w:rPr>
      </w:pPr>
      <w:r w:rsidRPr="00B738B8">
        <w:rPr>
          <w:rFonts w:ascii="Arial" w:hAnsi="Arial" w:cs="Arial"/>
          <w:lang w:val="mk-MK"/>
        </w:rPr>
        <w:t>Само Албанија и Северна Македонија успеаа да поднесат нацрти и финални верзии на Националните енергетски и климатски планови досега, иако плановите се уште треба да бидат подобро интегрирани и да го применат интер-секторскиот пристап</w:t>
      </w:r>
    </w:p>
    <w:p w:rsidR="006A74F1" w:rsidRPr="006A74F1" w:rsidRDefault="006A74F1" w:rsidP="007C6E3D">
      <w:pPr>
        <w:pStyle w:val="ListParagraph"/>
        <w:numPr>
          <w:ilvl w:val="0"/>
          <w:numId w:val="5"/>
        </w:numPr>
        <w:rPr>
          <w:rFonts w:ascii="Arial" w:hAnsi="Arial" w:cs="Arial"/>
          <w:lang w:val="mk-MK"/>
        </w:rPr>
      </w:pPr>
      <w:proofErr w:type="spellStart"/>
      <w:r w:rsidRPr="006A74F1">
        <w:rPr>
          <w:rFonts w:ascii="Arial" w:hAnsi="Arial" w:cs="Arial"/>
          <w:color w:val="1D1C1D"/>
          <w:sz w:val="23"/>
          <w:szCs w:val="23"/>
          <w:shd w:val="clear" w:color="auto" w:fill="FFFFFF"/>
        </w:rPr>
        <w:t>Националните</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планови</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треба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да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применат</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ефективен</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климатски</w:t>
      </w:r>
      <w:proofErr w:type="spellEnd"/>
      <w:r w:rsidRPr="006A74F1">
        <w:rPr>
          <w:rFonts w:ascii="Arial" w:hAnsi="Arial" w:cs="Arial"/>
          <w:color w:val="1D1C1D"/>
          <w:sz w:val="23"/>
          <w:szCs w:val="23"/>
          <w:shd w:val="clear" w:color="auto" w:fill="FFFFFF"/>
        </w:rPr>
        <w:t xml:space="preserve"> и </w:t>
      </w:r>
      <w:proofErr w:type="spellStart"/>
      <w:r w:rsidRPr="006A74F1">
        <w:rPr>
          <w:rFonts w:ascii="Arial" w:hAnsi="Arial" w:cs="Arial"/>
          <w:color w:val="1D1C1D"/>
          <w:sz w:val="23"/>
          <w:szCs w:val="23"/>
          <w:shd w:val="clear" w:color="auto" w:fill="FFFFFF"/>
        </w:rPr>
        <w:t>енергетски</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политики</w:t>
      </w:r>
      <w:proofErr w:type="spellEnd"/>
      <w:r w:rsidRPr="006A74F1">
        <w:rPr>
          <w:rFonts w:ascii="Arial" w:hAnsi="Arial" w:cs="Arial"/>
          <w:color w:val="1D1C1D"/>
          <w:sz w:val="23"/>
          <w:szCs w:val="23"/>
          <w:shd w:val="clear" w:color="auto" w:fill="FFFFFF"/>
        </w:rPr>
        <w:t xml:space="preserve"> и </w:t>
      </w:r>
      <w:proofErr w:type="spellStart"/>
      <w:r w:rsidRPr="006A74F1">
        <w:rPr>
          <w:rFonts w:ascii="Arial" w:hAnsi="Arial" w:cs="Arial"/>
          <w:color w:val="1D1C1D"/>
          <w:sz w:val="23"/>
          <w:szCs w:val="23"/>
          <w:shd w:val="clear" w:color="auto" w:fill="FFFFFF"/>
        </w:rPr>
        <w:t>мерки</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кои</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ќе</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го</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трасираат</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патот</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кон</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декарбонизација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во</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регионот</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до</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средина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на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векот</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oбврска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преземена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од</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лидерите</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на</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Западен</w:t>
      </w:r>
      <w:proofErr w:type="spellEnd"/>
      <w:r w:rsidRPr="006A74F1">
        <w:rPr>
          <w:rFonts w:ascii="Arial" w:hAnsi="Arial" w:cs="Arial"/>
          <w:color w:val="1D1C1D"/>
          <w:sz w:val="23"/>
          <w:szCs w:val="23"/>
          <w:shd w:val="clear" w:color="auto" w:fill="FFFFFF"/>
        </w:rPr>
        <w:t xml:space="preserve"> </w:t>
      </w:r>
      <w:proofErr w:type="spellStart"/>
      <w:r w:rsidRPr="006A74F1">
        <w:rPr>
          <w:rFonts w:ascii="Arial" w:hAnsi="Arial" w:cs="Arial"/>
          <w:color w:val="1D1C1D"/>
          <w:sz w:val="23"/>
          <w:szCs w:val="23"/>
          <w:shd w:val="clear" w:color="auto" w:fill="FFFFFF"/>
        </w:rPr>
        <w:t>Балкан</w:t>
      </w:r>
      <w:proofErr w:type="spellEnd"/>
    </w:p>
    <w:p w:rsidR="006A74F1" w:rsidRPr="006A74F1" w:rsidRDefault="006A74F1" w:rsidP="006A74F1">
      <w:pPr>
        <w:pStyle w:val="ListParagraph"/>
        <w:rPr>
          <w:rFonts w:ascii="Arial" w:hAnsi="Arial" w:cs="Arial"/>
          <w:lang w:val="mk-MK"/>
        </w:rPr>
      </w:pPr>
    </w:p>
    <w:p w:rsidR="007C6E3D" w:rsidRPr="006A74F1" w:rsidRDefault="007C6E3D" w:rsidP="006A74F1">
      <w:pPr>
        <w:rPr>
          <w:rFonts w:ascii="Arial" w:hAnsi="Arial" w:cs="Arial"/>
          <w:lang w:val="mk-MK"/>
        </w:rPr>
      </w:pPr>
      <w:r w:rsidRPr="006A74F1">
        <w:rPr>
          <w:rFonts w:ascii="Arial" w:hAnsi="Arial" w:cs="Arial"/>
          <w:b/>
          <w:lang w:val="mk-MK"/>
        </w:rPr>
        <w:t>Брисел/Скопје/Тирана, 10 ноември 2022</w:t>
      </w:r>
      <w:r w:rsidRPr="006A74F1">
        <w:rPr>
          <w:rFonts w:ascii="Arial" w:hAnsi="Arial" w:cs="Arial"/>
          <w:lang w:val="mk-MK"/>
        </w:rPr>
        <w:t xml:space="preserve"> – За да се означи втората годишнина од усвојувањето на Софиската Декларација, </w:t>
      </w:r>
      <w:r w:rsidRPr="006A74F1">
        <w:rPr>
          <w:b/>
        </w:rPr>
        <w:fldChar w:fldCharType="begin"/>
      </w:r>
      <w:r w:rsidRPr="006A74F1">
        <w:rPr>
          <w:b/>
        </w:rPr>
        <w:instrText xml:space="preserve"> HYPERLINK "https://caneurope.org/content/uploads/2022/11/NECP-report-Western-Balkans-3.pdf" </w:instrText>
      </w:r>
      <w:r w:rsidRPr="006A74F1">
        <w:rPr>
          <w:b/>
        </w:rPr>
        <w:fldChar w:fldCharType="separate"/>
      </w:r>
      <w:r w:rsidRPr="006A74F1">
        <w:rPr>
          <w:rStyle w:val="Hyperlink"/>
          <w:rFonts w:ascii="Arial" w:hAnsi="Arial" w:cs="Arial"/>
          <w:b/>
          <w:lang w:val="mk-MK"/>
        </w:rPr>
        <w:t>нов извештај</w:t>
      </w:r>
      <w:r w:rsidRPr="006A74F1">
        <w:rPr>
          <w:rStyle w:val="Hyperlink"/>
          <w:rFonts w:ascii="Arial" w:hAnsi="Arial" w:cs="Arial"/>
          <w:b/>
          <w:lang w:val="mk-MK"/>
        </w:rPr>
        <w:fldChar w:fldCharType="end"/>
      </w:r>
      <w:r w:rsidRPr="006A74F1">
        <w:rPr>
          <w:rFonts w:ascii="Arial" w:hAnsi="Arial" w:cs="Arial"/>
          <w:b/>
          <w:lang w:val="mk-MK"/>
        </w:rPr>
        <w:t xml:space="preserve"> на Мрежата за климатска акција (</w:t>
      </w:r>
      <w:r w:rsidRPr="006A74F1">
        <w:rPr>
          <w:rFonts w:ascii="Arial" w:hAnsi="Arial" w:cs="Arial"/>
          <w:b/>
        </w:rPr>
        <w:t xml:space="preserve">CAN) </w:t>
      </w:r>
      <w:r w:rsidRPr="006A74F1">
        <w:rPr>
          <w:rFonts w:ascii="Arial" w:hAnsi="Arial" w:cs="Arial"/>
          <w:b/>
          <w:lang w:val="mk-MK"/>
        </w:rPr>
        <w:t>Европа предупредува за ограничениот напредок во усвојувањето на Национални енергетски и климатски планови (НЕКП) на Западен Балкан,</w:t>
      </w:r>
      <w:r w:rsidRPr="006A74F1">
        <w:rPr>
          <w:rFonts w:ascii="Arial" w:hAnsi="Arial" w:cs="Arial"/>
          <w:lang w:val="mk-MK"/>
        </w:rPr>
        <w:t xml:space="preserve"> што ги компромитира ветувањата на лидерите дека ќе се редуцираат емисиите на стакленички гасови преку утврдување на ефективни политики. Овие десетогодишни планови се всушност една од практичните алатки преку кои земјите покажуваат како ќе ги постигнат своите енергетски и климатски цели за 2030 година. Тоа пак претставува клучна одредница за трасирањето на патот кон климатска неутралност до 2050 година, заложба за која се обврзаа сите лидери на Западен Балкан со потпишувањето на </w:t>
      </w:r>
      <w:r w:rsidR="00F3181E">
        <w:rPr>
          <w:rFonts w:ascii="Arial" w:hAnsi="Arial" w:cs="Arial"/>
          <w:lang w:val="mk-MK"/>
        </w:rPr>
        <w:fldChar w:fldCharType="begin"/>
      </w:r>
      <w:r w:rsidR="00F3181E">
        <w:rPr>
          <w:rFonts w:ascii="Arial" w:hAnsi="Arial" w:cs="Arial"/>
          <w:lang w:val="mk-MK"/>
        </w:rPr>
        <w:instrText xml:space="preserve"> HYPERLINK "https://www.rcc.int/docs/546/sofia-declaration-on-the-green-agenda-for-the-western-balkans-rn" </w:instrText>
      </w:r>
      <w:r w:rsidR="00F3181E">
        <w:rPr>
          <w:rFonts w:ascii="Arial" w:hAnsi="Arial" w:cs="Arial"/>
          <w:lang w:val="mk-MK"/>
        </w:rPr>
      </w:r>
      <w:r w:rsidR="00F3181E">
        <w:rPr>
          <w:rFonts w:ascii="Arial" w:hAnsi="Arial" w:cs="Arial"/>
          <w:lang w:val="mk-MK"/>
        </w:rPr>
        <w:fldChar w:fldCharType="separate"/>
      </w:r>
      <w:r w:rsidRPr="00F3181E">
        <w:rPr>
          <w:rStyle w:val="Hyperlink"/>
          <w:rFonts w:ascii="Arial" w:hAnsi="Arial" w:cs="Arial"/>
          <w:lang w:val="mk-MK"/>
        </w:rPr>
        <w:t>Декларацијата во Софија на 10 ноември 2020</w:t>
      </w:r>
      <w:r w:rsidR="00F3181E">
        <w:rPr>
          <w:rFonts w:ascii="Arial" w:hAnsi="Arial" w:cs="Arial"/>
          <w:lang w:val="mk-MK"/>
        </w:rPr>
        <w:fldChar w:fldCharType="end"/>
      </w:r>
      <w:r w:rsidRPr="006A74F1">
        <w:rPr>
          <w:rFonts w:ascii="Arial" w:hAnsi="Arial" w:cs="Arial"/>
          <w:lang w:val="mk-MK"/>
        </w:rPr>
        <w:t>.</w:t>
      </w:r>
    </w:p>
    <w:p w:rsidR="007C6E3D" w:rsidRPr="00B738B8" w:rsidRDefault="007C6E3D" w:rsidP="006A74F1">
      <w:pPr>
        <w:spacing w:line="276" w:lineRule="auto"/>
        <w:rPr>
          <w:rFonts w:ascii="Arial" w:hAnsi="Arial" w:cs="Arial"/>
          <w:lang w:val="mk-MK"/>
        </w:rPr>
      </w:pPr>
      <w:r w:rsidRPr="006A74F1">
        <w:rPr>
          <w:rFonts w:ascii="Arial" w:hAnsi="Arial" w:cs="Arial"/>
          <w:b/>
          <w:lang w:val="mk-MK"/>
        </w:rPr>
        <w:t xml:space="preserve">Преку алатка за квалитативна процена креирана од </w:t>
      </w:r>
      <w:r w:rsidRPr="006A74F1">
        <w:rPr>
          <w:rFonts w:ascii="Arial" w:hAnsi="Arial" w:cs="Arial"/>
          <w:b/>
        </w:rPr>
        <w:t xml:space="preserve">CAN Europe, </w:t>
      </w:r>
      <w:r w:rsidRPr="006A74F1">
        <w:rPr>
          <w:rFonts w:ascii="Arial" w:hAnsi="Arial" w:cs="Arial"/>
          <w:b/>
          <w:lang w:val="mk-MK"/>
        </w:rPr>
        <w:t>извештајот се продлабочува во секоја од земјите на Западен Балкан и цени во кој стадиум се нивните НЕКП.</w:t>
      </w:r>
      <w:r w:rsidRPr="00B738B8">
        <w:rPr>
          <w:rFonts w:ascii="Arial" w:hAnsi="Arial" w:cs="Arial"/>
          <w:lang w:val="mk-MK"/>
        </w:rPr>
        <w:t xml:space="preserve"> Извештајот ја потенцира потребата за унапредување на нивото на интегрирано климатско и енергетско планирање, со детален фокус на напредокот. Досега само Албанија и Северна Македонија усвоија вакви планови. Другите земји го започнаа процесот и се на различно ниво на подготовка, меѓу кои е и Србија, која го најави нацрт планот во август годинава, но оттогаш нема поместувања.</w:t>
      </w:r>
    </w:p>
    <w:p w:rsidR="007C6E3D" w:rsidRPr="00B738B8" w:rsidRDefault="007C6E3D" w:rsidP="006A74F1">
      <w:pPr>
        <w:shd w:val="clear" w:color="auto" w:fill="FFFFFF"/>
        <w:spacing w:after="0" w:line="276" w:lineRule="auto"/>
        <w:rPr>
          <w:rFonts w:ascii="Arial" w:eastAsia="Times New Roman" w:hAnsi="Arial" w:cs="Arial"/>
          <w:color w:val="000000"/>
        </w:rPr>
      </w:pPr>
      <w:r w:rsidRPr="00B738B8">
        <w:rPr>
          <w:rFonts w:ascii="Arial" w:hAnsi="Arial" w:cs="Arial"/>
          <w:lang w:val="mk-MK"/>
        </w:rPr>
        <w:lastRenderedPageBreak/>
        <w:t xml:space="preserve">Датумот за финални поднесоци на националните планови до Секретаријатот на Енергетска заедница беше одложен за 30 јуни 2024 година. Во секој случај, за плановите да бидат ефикасно интегрирани и да обезбедат допирливи резултати, процесот мора веднаш да биде забрзан, посочува извештајот. </w:t>
      </w:r>
      <w:r w:rsidRPr="00BF4F71">
        <w:rPr>
          <w:rFonts w:ascii="Arial" w:hAnsi="Arial" w:cs="Arial"/>
          <w:shd w:val="clear" w:color="auto" w:fill="D9D9D9" w:themeFill="background1" w:themeFillShade="D9"/>
          <w:lang w:val="mk-MK"/>
        </w:rPr>
        <w:t xml:space="preserve">Во декември 2022 на </w:t>
      </w:r>
      <w:r w:rsidRPr="00BF4F71">
        <w:rPr>
          <w:shd w:val="clear" w:color="auto" w:fill="D9D9D9" w:themeFill="background1" w:themeFillShade="D9"/>
        </w:rPr>
        <w:fldChar w:fldCharType="begin"/>
      </w:r>
      <w:r w:rsidRPr="00BF4F71">
        <w:rPr>
          <w:shd w:val="clear" w:color="auto" w:fill="D9D9D9" w:themeFill="background1" w:themeFillShade="D9"/>
        </w:rPr>
        <w:instrText xml:space="preserve"> HYPERLINK "https://www.energy-community.org/news/Energy-Community-News/2022/09/01.html" </w:instrText>
      </w:r>
      <w:r w:rsidRPr="00BF4F71">
        <w:rPr>
          <w:shd w:val="clear" w:color="auto" w:fill="D9D9D9" w:themeFill="background1" w:themeFillShade="D9"/>
        </w:rPr>
        <w:fldChar w:fldCharType="separate"/>
      </w:r>
      <w:r w:rsidRPr="00BF4F71">
        <w:rPr>
          <w:rStyle w:val="Hyperlink"/>
          <w:rFonts w:ascii="Arial" w:hAnsi="Arial" w:cs="Arial"/>
          <w:shd w:val="clear" w:color="auto" w:fill="D9D9D9" w:themeFill="background1" w:themeFillShade="D9"/>
          <w:lang w:val="mk-MK"/>
        </w:rPr>
        <w:t>Министерскиот совет на Енергетска Заедница</w:t>
      </w:r>
      <w:r w:rsidRPr="00BF4F71">
        <w:rPr>
          <w:rStyle w:val="Hyperlink"/>
          <w:rFonts w:ascii="Arial" w:hAnsi="Arial" w:cs="Arial"/>
          <w:shd w:val="clear" w:color="auto" w:fill="D9D9D9" w:themeFill="background1" w:themeFillShade="D9"/>
          <w:lang w:val="mk-MK"/>
        </w:rPr>
        <w:fldChar w:fldCharType="end"/>
      </w:r>
      <w:r w:rsidRPr="00BF4F71">
        <w:rPr>
          <w:rFonts w:ascii="Arial" w:hAnsi="Arial" w:cs="Arial"/>
          <w:shd w:val="clear" w:color="auto" w:fill="D9D9D9" w:themeFill="background1" w:themeFillShade="D9"/>
          <w:lang w:val="mk-MK"/>
        </w:rPr>
        <w:t xml:space="preserve"> се очекува да бидат усвоени националните водечки енергетски и климатски таргети, целејќи кон севкупно намалување на емисиите на стакленички гасови за 60.9% под нивоата од 1990, </w:t>
      </w:r>
      <w:proofErr w:type="spellStart"/>
      <w:r w:rsidR="00BF4F71" w:rsidRPr="00BF4F71">
        <w:rPr>
          <w:rFonts w:ascii="Arial" w:hAnsi="Arial" w:cs="Arial"/>
          <w:color w:val="1D1C1D"/>
          <w:sz w:val="23"/>
          <w:szCs w:val="23"/>
          <w:shd w:val="clear" w:color="auto" w:fill="D9D9D9" w:themeFill="background1" w:themeFillShade="D9"/>
        </w:rPr>
        <w:t>зголемување</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до</w:t>
      </w:r>
      <w:proofErr w:type="spellEnd"/>
      <w:r w:rsidR="00BF4F71" w:rsidRPr="00BF4F71">
        <w:rPr>
          <w:rFonts w:ascii="Arial" w:hAnsi="Arial" w:cs="Arial"/>
          <w:color w:val="1D1C1D"/>
          <w:sz w:val="23"/>
          <w:szCs w:val="23"/>
          <w:shd w:val="clear" w:color="auto" w:fill="D9D9D9" w:themeFill="background1" w:themeFillShade="D9"/>
        </w:rPr>
        <w:t xml:space="preserve"> 31%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учеството</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обновливи</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извори</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енергија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во</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бруто</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финалната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потрошувачка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енергија</w:t>
      </w:r>
      <w:proofErr w:type="spellEnd"/>
      <w:r w:rsidR="00BF4F71" w:rsidRPr="00BF4F71">
        <w:rPr>
          <w:rFonts w:ascii="Arial" w:hAnsi="Arial" w:cs="Arial"/>
          <w:color w:val="1D1C1D"/>
          <w:sz w:val="23"/>
          <w:szCs w:val="23"/>
          <w:shd w:val="clear" w:color="auto" w:fill="D9D9D9" w:themeFill="background1" w:themeFillShade="D9"/>
        </w:rPr>
        <w:t xml:space="preserve">, и </w:t>
      </w:r>
      <w:proofErr w:type="spellStart"/>
      <w:r w:rsidR="00BF4F71" w:rsidRPr="00BF4F71">
        <w:rPr>
          <w:rFonts w:ascii="Arial" w:hAnsi="Arial" w:cs="Arial"/>
          <w:color w:val="1D1C1D"/>
          <w:sz w:val="23"/>
          <w:szCs w:val="23"/>
          <w:shd w:val="clear" w:color="auto" w:fill="D9D9D9" w:themeFill="background1" w:themeFillShade="D9"/>
        </w:rPr>
        <w:t>ограничување</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износот</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примарна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потрошувачка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енергија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129,88 </w:t>
      </w:r>
      <w:proofErr w:type="spellStart"/>
      <w:r w:rsidR="00BF4F71" w:rsidRPr="00BF4F71">
        <w:rPr>
          <w:rFonts w:ascii="Arial" w:hAnsi="Arial" w:cs="Arial"/>
          <w:color w:val="1D1C1D"/>
          <w:sz w:val="23"/>
          <w:szCs w:val="23"/>
          <w:shd w:val="clear" w:color="auto" w:fill="D9D9D9" w:themeFill="background1" w:themeFillShade="D9"/>
        </w:rPr>
        <w:t>Mtoe</w:t>
      </w:r>
      <w:proofErr w:type="spellEnd"/>
      <w:r w:rsidR="00BF4F71" w:rsidRPr="00BF4F71">
        <w:rPr>
          <w:rFonts w:ascii="Arial" w:hAnsi="Arial" w:cs="Arial"/>
          <w:color w:val="1D1C1D"/>
          <w:sz w:val="23"/>
          <w:szCs w:val="23"/>
          <w:shd w:val="clear" w:color="auto" w:fill="D9D9D9" w:themeFill="background1" w:themeFillShade="D9"/>
        </w:rPr>
        <w:t xml:space="preserve"> и </w:t>
      </w:r>
      <w:proofErr w:type="spellStart"/>
      <w:r w:rsidR="00BF4F71" w:rsidRPr="00BF4F71">
        <w:rPr>
          <w:rFonts w:ascii="Arial" w:hAnsi="Arial" w:cs="Arial"/>
          <w:color w:val="1D1C1D"/>
          <w:sz w:val="23"/>
          <w:szCs w:val="23"/>
          <w:shd w:val="clear" w:color="auto" w:fill="D9D9D9" w:themeFill="background1" w:themeFillShade="D9"/>
        </w:rPr>
        <w:t>износот</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финална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потрошувачка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енергија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79,06 </w:t>
      </w:r>
      <w:proofErr w:type="spellStart"/>
      <w:r w:rsidR="00BF4F71" w:rsidRPr="00BF4F71">
        <w:rPr>
          <w:rFonts w:ascii="Arial" w:hAnsi="Arial" w:cs="Arial"/>
          <w:color w:val="1D1C1D"/>
          <w:sz w:val="23"/>
          <w:szCs w:val="23"/>
          <w:shd w:val="clear" w:color="auto" w:fill="D9D9D9" w:themeFill="background1" w:themeFillShade="D9"/>
        </w:rPr>
        <w:t>Mtoe</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ниво</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на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Енергетската</w:t>
      </w:r>
      <w:proofErr w:type="spellEnd"/>
      <w:r w:rsidR="00BF4F71" w:rsidRPr="00BF4F71">
        <w:rPr>
          <w:rFonts w:ascii="Arial" w:hAnsi="Arial" w:cs="Arial"/>
          <w:color w:val="1D1C1D"/>
          <w:sz w:val="23"/>
          <w:szCs w:val="23"/>
          <w:shd w:val="clear" w:color="auto" w:fill="D9D9D9" w:themeFill="background1" w:themeFillShade="D9"/>
        </w:rPr>
        <w:t xml:space="preserve"> </w:t>
      </w:r>
      <w:proofErr w:type="spellStart"/>
      <w:r w:rsidR="00BF4F71" w:rsidRPr="00BF4F71">
        <w:rPr>
          <w:rFonts w:ascii="Arial" w:hAnsi="Arial" w:cs="Arial"/>
          <w:color w:val="1D1C1D"/>
          <w:sz w:val="23"/>
          <w:szCs w:val="23"/>
          <w:shd w:val="clear" w:color="auto" w:fill="D9D9D9" w:themeFill="background1" w:themeFillShade="D9"/>
        </w:rPr>
        <w:t>заедница</w:t>
      </w:r>
      <w:proofErr w:type="spellEnd"/>
      <w:r w:rsidR="00BF4F71" w:rsidRPr="00BF4F71">
        <w:rPr>
          <w:rFonts w:ascii="Arial" w:hAnsi="Arial" w:cs="Arial"/>
          <w:color w:val="1D1C1D"/>
          <w:sz w:val="23"/>
          <w:szCs w:val="23"/>
          <w:shd w:val="clear" w:color="auto" w:fill="D9D9D9" w:themeFill="background1" w:themeFillShade="D9"/>
        </w:rPr>
        <w:t>.</w:t>
      </w:r>
      <w:r w:rsidR="00BF4F71">
        <w:rPr>
          <w:rFonts w:ascii="Arial" w:hAnsi="Arial" w:cs="Arial"/>
          <w:color w:val="1D1C1D"/>
          <w:sz w:val="23"/>
          <w:szCs w:val="23"/>
          <w:shd w:val="clear" w:color="auto" w:fill="F8F8F8"/>
        </w:rPr>
        <w:t xml:space="preserve"> </w:t>
      </w:r>
      <w:r w:rsidRPr="00B738B8">
        <w:rPr>
          <w:rFonts w:ascii="Arial" w:hAnsi="Arial" w:cs="Arial"/>
          <w:lang w:val="mk-MK"/>
        </w:rPr>
        <w:t xml:space="preserve">За да се постигнат овие цели, работните групи за НЕКП, воспоставени во секоја од земјите членки на Енергетската заедница, ќе мора да го подобрат дизајнирањето на соодветните политики и мерки. Дополнително, транспарентноста и ефективното јавно учество мора да бидат осигурани за време на развојот на нацрт националните планови, кои имаат рок да бидат поднесени до Секретаријатот на Енергетска Заедница до јуни 2023 година. Со оглед на тоа што земјите од Западен Балкан се исто така обврзани да ја транспонираат и имплементираат </w:t>
      </w:r>
      <w:r>
        <w:fldChar w:fldCharType="begin"/>
      </w:r>
      <w:r>
        <w:instrText xml:space="preserve"> HYPERLINK "https://www.energy-community.org/dam/jcr:e24c911e-f0f6-4f26-a152-ec79d85ee1a4/REGULATION_EU_2018-1999.pdf" </w:instrText>
      </w:r>
      <w:r>
        <w:fldChar w:fldCharType="separate"/>
      </w:r>
      <w:r w:rsidRPr="00B738B8">
        <w:rPr>
          <w:rStyle w:val="Hyperlink"/>
          <w:rFonts w:ascii="Arial" w:hAnsi="Arial" w:cs="Arial"/>
          <w:lang w:val="mk-MK"/>
        </w:rPr>
        <w:t>Регулативата за управување со Енергетската унија и климатска акција</w:t>
      </w:r>
      <w:r>
        <w:rPr>
          <w:rStyle w:val="Hyperlink"/>
          <w:rFonts w:ascii="Arial" w:hAnsi="Arial" w:cs="Arial"/>
          <w:lang w:val="mk-MK"/>
        </w:rPr>
        <w:fldChar w:fldCharType="end"/>
      </w:r>
      <w:r w:rsidRPr="00B738B8">
        <w:rPr>
          <w:rFonts w:ascii="Arial" w:hAnsi="Arial" w:cs="Arial"/>
          <w:lang w:val="mk-MK"/>
        </w:rPr>
        <w:t xml:space="preserve"> до крајот на годинава, владите мора значително да истапат со активности и зголемен напор за да развијат целосно усогласени НЕКП во навремен и инклузивен процес, заклучува извештајот на </w:t>
      </w:r>
      <w:r w:rsidRPr="00FD194F">
        <w:rPr>
          <w:rFonts w:ascii="Arial" w:eastAsia="Times New Roman" w:hAnsi="Arial" w:cs="Arial"/>
          <w:color w:val="000000"/>
        </w:rPr>
        <w:t>CAN Europe. </w:t>
      </w:r>
    </w:p>
    <w:p w:rsidR="007C6E3D" w:rsidRPr="00B738B8" w:rsidRDefault="007C6E3D" w:rsidP="007C6E3D">
      <w:pPr>
        <w:shd w:val="clear" w:color="auto" w:fill="FFFFFF"/>
        <w:spacing w:after="0" w:line="240" w:lineRule="auto"/>
        <w:jc w:val="both"/>
        <w:rPr>
          <w:rFonts w:ascii="Arial" w:eastAsia="Times New Roman" w:hAnsi="Arial" w:cs="Arial"/>
          <w:color w:val="000000"/>
        </w:rPr>
      </w:pPr>
    </w:p>
    <w:p w:rsidR="007C6E3D" w:rsidRDefault="007C6E3D" w:rsidP="007C6E3D">
      <w:pPr>
        <w:shd w:val="clear" w:color="auto" w:fill="FFFFFF"/>
        <w:spacing w:after="0" w:line="240" w:lineRule="auto"/>
        <w:jc w:val="both"/>
        <w:rPr>
          <w:rFonts w:ascii="Arial" w:eastAsia="Times New Roman" w:hAnsi="Arial" w:cs="Arial"/>
          <w:b/>
          <w:color w:val="000000"/>
          <w:lang w:val="mk-MK"/>
        </w:rPr>
      </w:pPr>
      <w:r w:rsidRPr="00FF1F03">
        <w:rPr>
          <w:rFonts w:ascii="Arial" w:eastAsia="Times New Roman" w:hAnsi="Arial" w:cs="Arial"/>
          <w:b/>
          <w:color w:val="000000"/>
          <w:lang w:val="mk-MK"/>
        </w:rPr>
        <w:t>Албанскиот Национален план за енергија и клима – во недостиг на клучни чекори</w:t>
      </w:r>
    </w:p>
    <w:p w:rsidR="00F3181E" w:rsidRPr="00FF1F03" w:rsidRDefault="00F3181E" w:rsidP="007C6E3D">
      <w:pPr>
        <w:shd w:val="clear" w:color="auto" w:fill="FFFFFF"/>
        <w:spacing w:after="0" w:line="240" w:lineRule="auto"/>
        <w:jc w:val="both"/>
        <w:rPr>
          <w:rFonts w:ascii="Arial" w:eastAsia="Times New Roman" w:hAnsi="Arial" w:cs="Arial"/>
          <w:b/>
          <w:color w:val="000000"/>
          <w:lang w:val="mk-MK"/>
        </w:rPr>
      </w:pPr>
    </w:p>
    <w:p w:rsidR="007C6E3D" w:rsidRPr="00B738B8" w:rsidRDefault="007C6E3D" w:rsidP="006A74F1">
      <w:pPr>
        <w:shd w:val="clear" w:color="auto" w:fill="FFFFFF"/>
        <w:spacing w:after="0" w:line="276" w:lineRule="auto"/>
        <w:jc w:val="both"/>
        <w:rPr>
          <w:rFonts w:ascii="Arial" w:eastAsia="Times New Roman" w:hAnsi="Arial" w:cs="Arial"/>
          <w:color w:val="000000"/>
          <w:lang w:val="mk-MK"/>
        </w:rPr>
      </w:pPr>
      <w:r w:rsidRPr="00B738B8">
        <w:rPr>
          <w:rFonts w:ascii="Arial" w:eastAsia="Times New Roman" w:hAnsi="Arial" w:cs="Arial"/>
          <w:color w:val="000000"/>
          <w:lang w:val="mk-MK"/>
        </w:rPr>
        <w:t xml:space="preserve">Според анализата на случајот на Албанија, сѐ уште недостигаат клучни подобрувања за да се осигура дека планот ќе ја води земјата до исполнување на климатските цели за 2030. Севкупно, има недостаток на амбиција, а особено во случајот на редукција на стакленичките гасови. Има јасна потреба за доразвивање на постоечките политики и мерки, како и нивно хармонизирање со другите стратешки документи, додека пак сѐ уште недостигаат нови кои треба соодветно да се интегрираат во правната рамка. Многу од предвидените политики и мерки се само на ниво на генерални политики, додека нивната операционализација, начините за обезбедување на соодветно финансирање и временските рамки не се определени. Анализата покренува загриженост во однос на влијанијата врз животната средина како и социјалните влијанија, но и потребата да се подобри процесот на јавни консултации со цел обезбедување на ефективно учество во донесувањето на одлуки. Иако Албанија не користи јаглен како енергетски ресурс, ревидираниот НЕКП треба да обезбеди јасен долгорочен патоказ за напуштање на употребата на сите фосилни горива и да осигура дека националниот економски развој е одвоен од јаглеродно интензивните процеси. </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Default="007C6E3D" w:rsidP="006A74F1">
      <w:pPr>
        <w:shd w:val="clear" w:color="auto" w:fill="FFFFFF"/>
        <w:spacing w:after="0" w:line="276" w:lineRule="auto"/>
        <w:jc w:val="both"/>
        <w:rPr>
          <w:rFonts w:ascii="Arial" w:eastAsia="Times New Roman" w:hAnsi="Arial" w:cs="Arial"/>
          <w:b/>
          <w:color w:val="000000"/>
          <w:lang w:val="mk-MK"/>
        </w:rPr>
      </w:pPr>
      <w:r w:rsidRPr="00FF1F03">
        <w:rPr>
          <w:rFonts w:ascii="Arial" w:eastAsia="Times New Roman" w:hAnsi="Arial" w:cs="Arial"/>
          <w:b/>
          <w:color w:val="000000"/>
          <w:lang w:val="mk-MK"/>
        </w:rPr>
        <w:t>Северна Македонија – ревизија за прецизност</w:t>
      </w:r>
    </w:p>
    <w:p w:rsidR="00F3181E" w:rsidRPr="00FF1F03" w:rsidRDefault="00F3181E" w:rsidP="006A74F1">
      <w:pPr>
        <w:shd w:val="clear" w:color="auto" w:fill="FFFFFF"/>
        <w:spacing w:after="0" w:line="276" w:lineRule="auto"/>
        <w:jc w:val="both"/>
        <w:rPr>
          <w:rFonts w:ascii="Arial" w:eastAsia="Times New Roman" w:hAnsi="Arial" w:cs="Arial"/>
          <w:b/>
          <w:color w:val="000000"/>
          <w:lang w:val="mk-MK"/>
        </w:rPr>
      </w:pPr>
    </w:p>
    <w:p w:rsidR="007C6E3D" w:rsidRPr="00B738B8" w:rsidRDefault="007C6E3D" w:rsidP="006A74F1">
      <w:pPr>
        <w:shd w:val="clear" w:color="auto" w:fill="FFFFFF"/>
        <w:spacing w:after="0" w:line="276" w:lineRule="auto"/>
        <w:jc w:val="both"/>
        <w:rPr>
          <w:rFonts w:ascii="Arial" w:eastAsia="Times New Roman" w:hAnsi="Arial" w:cs="Arial"/>
          <w:color w:val="000000"/>
          <w:lang w:val="mk-MK"/>
        </w:rPr>
      </w:pPr>
      <w:r w:rsidRPr="00B738B8">
        <w:rPr>
          <w:rFonts w:ascii="Arial" w:eastAsia="Times New Roman" w:hAnsi="Arial" w:cs="Arial"/>
          <w:color w:val="000000"/>
          <w:lang w:val="mk-MK"/>
        </w:rPr>
        <w:t xml:space="preserve">Северна Македонија, гледана како регионален климатски лидер, презентираше прогресивни енергетски и климатски цели. Сепак, земјата доцнеше со усвојувањето на НЕКП, како и со донесувањето на пропратните документи за имплементација на предвидените политики и мерки, со што се задира во остварливоста на зацртаните цели. </w:t>
      </w:r>
      <w:r w:rsidRPr="00B738B8">
        <w:rPr>
          <w:rFonts w:ascii="Arial" w:eastAsia="Times New Roman" w:hAnsi="Arial" w:cs="Arial"/>
          <w:color w:val="000000"/>
          <w:lang w:val="mk-MK"/>
        </w:rPr>
        <w:lastRenderedPageBreak/>
        <w:t xml:space="preserve">Датата за напуштање на јагленот, предвидена во планот, би можела да се испочитува само доколку ревидираниот НЕКП содржи јасни планови по пензионирањето на постојните термо-електрани на јаглен, со точна временска рамка и обезбедени финансиски средства. Истовремено, многу од планираните гасни инфраструктурни активности не се рефлектирани во калкулациите на емисиите. Дополнително, иако изработката и консултативниот процес за нацртот НЕКП беа за пример, процесот не испорача извештај од јавните консултации кој ќе ја прикаже оваа вклученост. Ревидираниот НЕКП мора да ги вгради резултатите од консултативниот процес, како и наодите од оценката на влијанието врз животната средина, подвлекува извештајот на </w:t>
      </w:r>
      <w:r w:rsidRPr="00FD194F">
        <w:rPr>
          <w:rFonts w:ascii="Arial" w:eastAsia="Times New Roman" w:hAnsi="Arial" w:cs="Arial"/>
          <w:color w:val="000000"/>
        </w:rPr>
        <w:t>CAN Europe</w:t>
      </w:r>
      <w:r w:rsidRPr="00B738B8">
        <w:rPr>
          <w:rFonts w:ascii="Arial" w:eastAsia="Times New Roman" w:hAnsi="Arial" w:cs="Arial"/>
          <w:color w:val="000000"/>
          <w:lang w:val="mk-MK"/>
        </w:rPr>
        <w:t>.</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6A74F1">
      <w:pPr>
        <w:shd w:val="clear" w:color="auto" w:fill="FFFFFF"/>
        <w:spacing w:after="0" w:line="240" w:lineRule="auto"/>
        <w:rPr>
          <w:rFonts w:ascii="Arial" w:eastAsia="Times New Roman" w:hAnsi="Arial" w:cs="Arial"/>
          <w:color w:val="000000"/>
          <w:lang w:val="mk-MK"/>
        </w:rPr>
      </w:pPr>
      <w:r w:rsidRPr="00B738B8">
        <w:rPr>
          <w:rFonts w:ascii="Arial" w:eastAsia="Times New Roman" w:hAnsi="Arial" w:cs="Arial"/>
          <w:i/>
          <w:color w:val="000000"/>
          <w:lang w:val="mk-MK"/>
        </w:rPr>
        <w:t>„</w:t>
      </w:r>
      <w:r w:rsidRPr="006A74F1">
        <w:rPr>
          <w:rFonts w:ascii="Arial" w:eastAsia="Times New Roman" w:hAnsi="Arial" w:cs="Arial"/>
          <w:b/>
          <w:i/>
          <w:color w:val="000000"/>
          <w:lang w:val="mk-MK"/>
        </w:rPr>
        <w:t>Како што е очигледно од веќе поднесените интегрирани климатски и енергетски планови, како и од влијанијата на енергетската криза кои ги чувствува регионот на Западен Балкан, исклучително важно е да ревидираните и новите НЕКП ги вклучат регоионалните аспекти на енергетско и климатско планирање многу потемелно. Тие мора да бидат развиени во координиран приод, користејќи ги можностите за преку-гранична и регионална соработка во полн потенцијал. Тоа значително би ги зголемило синергиите и би се избегнало дуплирање на капацитети и инфраструктура. Зголемената регионална соработка и трговија ќе ја зајакнат ефикасноста, енергетската безбедност и ќе донесат инвестиции користејќи ја економијата од обем, што е пресудно за исполнувањето на амбициозни цели. И покрај одложениот рок, нема време за губење. Императив е да лидерите веднаш преминат од политички декларации кон конкретни активности со кои ќе се справат со повеќебројните кризи кои го афектираат регионот</w:t>
      </w:r>
      <w:r w:rsidRPr="006A74F1">
        <w:rPr>
          <w:rFonts w:ascii="Arial" w:eastAsia="Times New Roman" w:hAnsi="Arial" w:cs="Arial"/>
          <w:b/>
          <w:color w:val="000000"/>
          <w:lang w:val="mk-MK"/>
        </w:rPr>
        <w:t>,</w:t>
      </w:r>
      <w:r w:rsidRPr="00B738B8">
        <w:rPr>
          <w:rFonts w:ascii="Arial" w:eastAsia="Times New Roman" w:hAnsi="Arial" w:cs="Arial"/>
          <w:color w:val="000000"/>
          <w:lang w:val="mk-MK"/>
        </w:rPr>
        <w:t xml:space="preserve">“ вели Фросина Антоновска, офицер за енергетски и климатски политики на Западен Балкан во </w:t>
      </w:r>
      <w:r w:rsidRPr="00FD194F">
        <w:rPr>
          <w:rFonts w:ascii="Arial" w:eastAsia="Times New Roman" w:hAnsi="Arial" w:cs="Arial"/>
          <w:color w:val="000000"/>
        </w:rPr>
        <w:t>CAN Europe</w:t>
      </w:r>
      <w:r w:rsidRPr="00B738B8">
        <w:rPr>
          <w:rFonts w:ascii="Arial" w:eastAsia="Times New Roman" w:hAnsi="Arial" w:cs="Arial"/>
          <w:color w:val="000000"/>
          <w:lang w:val="mk-MK"/>
        </w:rPr>
        <w:t>.</w:t>
      </w:r>
    </w:p>
    <w:p w:rsidR="007C6E3D" w:rsidRPr="00B738B8" w:rsidRDefault="007C6E3D" w:rsidP="006A74F1">
      <w:pPr>
        <w:shd w:val="clear" w:color="auto" w:fill="FFFFFF"/>
        <w:spacing w:after="0" w:line="240" w:lineRule="auto"/>
        <w:rPr>
          <w:rFonts w:ascii="Arial" w:eastAsia="Times New Roman" w:hAnsi="Arial" w:cs="Arial"/>
          <w:color w:val="000000"/>
          <w:lang w:val="mk-MK"/>
        </w:rPr>
      </w:pPr>
    </w:p>
    <w:p w:rsidR="007C6E3D" w:rsidRPr="00B738B8" w:rsidRDefault="007C6E3D" w:rsidP="006A74F1">
      <w:pPr>
        <w:shd w:val="clear" w:color="auto" w:fill="FFFFFF"/>
        <w:spacing w:after="0" w:line="240" w:lineRule="auto"/>
        <w:rPr>
          <w:rFonts w:ascii="Arial" w:eastAsia="Times New Roman" w:hAnsi="Arial" w:cs="Arial"/>
          <w:color w:val="000000"/>
          <w:lang w:val="mk-MK"/>
        </w:rPr>
      </w:pPr>
      <w:r w:rsidRPr="00B738B8">
        <w:rPr>
          <w:rFonts w:ascii="Arial" w:eastAsia="Times New Roman" w:hAnsi="Arial" w:cs="Arial"/>
          <w:color w:val="000000"/>
          <w:lang w:val="mk-MK"/>
        </w:rPr>
        <w:t xml:space="preserve">Во поширок контекст, Националните климатски и енергетски планови се исто така релевантни за ограничување на глобалната температура на пораст </w:t>
      </w:r>
      <w:r w:rsidR="006A74F1">
        <w:rPr>
          <w:rFonts w:ascii="Arial" w:eastAsia="Times New Roman" w:hAnsi="Arial" w:cs="Arial"/>
          <w:color w:val="000000"/>
          <w:lang w:val="mk-MK"/>
        </w:rPr>
        <w:t>од 1.5 степени целзиусови</w:t>
      </w:r>
      <w:r w:rsidRPr="00B738B8">
        <w:rPr>
          <w:rFonts w:ascii="Arial" w:eastAsia="Times New Roman" w:hAnsi="Arial" w:cs="Arial"/>
          <w:color w:val="000000"/>
          <w:lang w:val="mk-MK"/>
        </w:rPr>
        <w:t>, што ќе нѐ заштити од опасните влијанија на киматските промени, што е предмет на дискусија деновиве на Самитот за клима на ОН во Египет.</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7C6E3D">
      <w:pPr>
        <w:pStyle w:val="ListParagraph"/>
        <w:numPr>
          <w:ilvl w:val="0"/>
          <w:numId w:val="11"/>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 xml:space="preserve">КРАЈ- </w:t>
      </w:r>
    </w:p>
    <w:p w:rsidR="007C6E3D" w:rsidRDefault="007C6E3D" w:rsidP="007C6E3D">
      <w:pPr>
        <w:shd w:val="clear" w:color="auto" w:fill="FFFFFF"/>
        <w:spacing w:after="0" w:line="240" w:lineRule="auto"/>
        <w:jc w:val="both"/>
        <w:rPr>
          <w:rFonts w:ascii="Arial" w:eastAsia="Times New Roman" w:hAnsi="Arial" w:cs="Arial"/>
          <w:color w:val="000000"/>
          <w:lang w:val="mk-MK"/>
        </w:rPr>
      </w:pPr>
    </w:p>
    <w:p w:rsidR="007C6E3D" w:rsidRPr="004C119A" w:rsidRDefault="007C6E3D" w:rsidP="007C6E3D">
      <w:pPr>
        <w:shd w:val="clear" w:color="auto" w:fill="FFFFFF"/>
        <w:spacing w:after="0" w:line="240" w:lineRule="auto"/>
        <w:jc w:val="both"/>
        <w:rPr>
          <w:rFonts w:ascii="Arial" w:eastAsia="Times New Roman" w:hAnsi="Arial" w:cs="Arial"/>
          <w:b/>
          <w:color w:val="000000"/>
          <w:lang w:val="mk-MK"/>
        </w:rPr>
      </w:pPr>
      <w:r w:rsidRPr="004C119A">
        <w:rPr>
          <w:rFonts w:ascii="Arial" w:eastAsia="Times New Roman" w:hAnsi="Arial" w:cs="Arial"/>
          <w:b/>
          <w:color w:val="000000"/>
          <w:lang w:val="mk-MK"/>
        </w:rPr>
        <w:t>Белешки за уредникот</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Default="007C6E3D" w:rsidP="007C6E3D">
      <w:pPr>
        <w:shd w:val="clear" w:color="auto" w:fill="FFFFFF"/>
        <w:spacing w:after="0" w:line="240" w:lineRule="auto"/>
        <w:jc w:val="both"/>
        <w:rPr>
          <w:rStyle w:val="Hyperlink"/>
          <w:rFonts w:ascii="Arial" w:hAnsi="Arial" w:cs="Arial"/>
          <w:bCs/>
          <w:color w:val="1155CC"/>
        </w:rPr>
      </w:pPr>
      <w:r w:rsidRPr="004C119A">
        <w:rPr>
          <w:rFonts w:ascii="Arial" w:eastAsia="Times New Roman" w:hAnsi="Arial" w:cs="Arial"/>
          <w:color w:val="000000"/>
          <w:lang w:val="mk-MK"/>
        </w:rPr>
        <w:t>Линк до извештајот:</w:t>
      </w:r>
      <w:r w:rsidRPr="004C119A">
        <w:t xml:space="preserve"> </w:t>
      </w:r>
      <w:hyperlink r:id="rId9" w:history="1">
        <w:r w:rsidRPr="004C119A">
          <w:rPr>
            <w:rStyle w:val="Hyperlink"/>
            <w:rFonts w:ascii="Arial" w:hAnsi="Arial" w:cs="Arial"/>
            <w:bCs/>
            <w:color w:val="1155CC"/>
          </w:rPr>
          <w:t>https://caneurope.org/content/uploads/2022/11/NECP-report-Western-Balkans-3.pdf</w:t>
        </w:r>
      </w:hyperlink>
    </w:p>
    <w:p w:rsidR="00F3181E" w:rsidRDefault="00F3181E" w:rsidP="007C6E3D">
      <w:pPr>
        <w:shd w:val="clear" w:color="auto" w:fill="FFFFFF"/>
        <w:spacing w:after="0" w:line="240" w:lineRule="auto"/>
        <w:jc w:val="both"/>
        <w:rPr>
          <w:rStyle w:val="Hyperlink"/>
          <w:rFonts w:ascii="Arial" w:hAnsi="Arial" w:cs="Arial"/>
          <w:bCs/>
          <w:color w:val="1155CC"/>
        </w:rPr>
      </w:pPr>
    </w:p>
    <w:p w:rsidR="007C6E3D" w:rsidRDefault="00F3181E" w:rsidP="007C6E3D">
      <w:pPr>
        <w:shd w:val="clear" w:color="auto" w:fill="FFFFFF"/>
        <w:spacing w:after="0" w:line="240" w:lineRule="auto"/>
        <w:jc w:val="both"/>
        <w:rPr>
          <w:rFonts w:ascii="Arial" w:hAnsi="Arial" w:cs="Arial"/>
          <w:lang w:val="mk-MK"/>
        </w:rPr>
      </w:pPr>
      <w:r w:rsidRPr="00F3181E">
        <w:rPr>
          <w:rFonts w:ascii="Arial" w:hAnsi="Arial" w:cs="Arial"/>
          <w:lang w:val="mk-MK"/>
        </w:rPr>
        <w:t>Декларацијата во Софија на 10 ноември 2020</w:t>
      </w:r>
      <w:r>
        <w:rPr>
          <w:rFonts w:ascii="Arial" w:hAnsi="Arial" w:cs="Arial"/>
          <w:lang w:val="sr-Latn-RS"/>
        </w:rPr>
        <w:t xml:space="preserve"> </w:t>
      </w:r>
      <w:hyperlink r:id="rId10" w:history="1">
        <w:r w:rsidRPr="00D470A8">
          <w:rPr>
            <w:rStyle w:val="Hyperlink"/>
            <w:rFonts w:ascii="Arial" w:hAnsi="Arial" w:cs="Arial"/>
            <w:lang w:val="sr-Latn-RS"/>
          </w:rPr>
          <w:t>https://www.rcc.int/docs/546/sofia-declaration-on-the-green-agenda-for-the-western-balkans-rn</w:t>
        </w:r>
      </w:hyperlink>
      <w:r>
        <w:rPr>
          <w:rFonts w:ascii="Arial" w:hAnsi="Arial" w:cs="Arial"/>
          <w:lang w:val="sr-Latn-RS"/>
        </w:rPr>
        <w:t xml:space="preserve">  </w:t>
      </w:r>
    </w:p>
    <w:p w:rsidR="00F3181E" w:rsidRPr="00B738B8" w:rsidRDefault="00F3181E" w:rsidP="007C6E3D">
      <w:pPr>
        <w:shd w:val="clear" w:color="auto" w:fill="FFFFFF"/>
        <w:spacing w:after="0" w:line="240" w:lineRule="auto"/>
        <w:jc w:val="both"/>
        <w:rPr>
          <w:rFonts w:ascii="Arial" w:eastAsia="Times New Roman" w:hAnsi="Arial" w:cs="Arial"/>
          <w:color w:val="000000"/>
          <w:lang w:val="mk-MK"/>
        </w:rPr>
      </w:pPr>
    </w:p>
    <w:p w:rsidR="007C6E3D" w:rsidRPr="004C119A" w:rsidRDefault="007C6E3D" w:rsidP="007C6E3D">
      <w:pPr>
        <w:shd w:val="clear" w:color="auto" w:fill="FFFFFF"/>
        <w:spacing w:after="0" w:line="240" w:lineRule="auto"/>
        <w:jc w:val="both"/>
        <w:rPr>
          <w:rFonts w:ascii="Arial" w:eastAsia="Times New Roman" w:hAnsi="Arial" w:cs="Arial"/>
          <w:color w:val="000000"/>
          <w:lang w:val="mk-MK"/>
        </w:rPr>
      </w:pPr>
      <w:r w:rsidRPr="004C119A">
        <w:rPr>
          <w:rFonts w:ascii="Arial" w:eastAsia="Times New Roman" w:hAnsi="Arial" w:cs="Arial"/>
          <w:color w:val="000000"/>
          <w:lang w:val="mk-MK"/>
        </w:rPr>
        <w:t>Соопштението за Министерскиот совет на Енергетска Задница во декември, 2022</w:t>
      </w:r>
    </w:p>
    <w:p w:rsidR="007C6E3D" w:rsidRPr="004C119A" w:rsidRDefault="007C6E3D" w:rsidP="007C6E3D">
      <w:pPr>
        <w:shd w:val="clear" w:color="auto" w:fill="FFFFFF"/>
        <w:spacing w:after="0" w:line="240" w:lineRule="auto"/>
        <w:jc w:val="both"/>
        <w:rPr>
          <w:rFonts w:ascii="Arial" w:eastAsia="Times New Roman" w:hAnsi="Arial" w:cs="Arial"/>
          <w:color w:val="000000"/>
          <w:lang w:val="mk-MK"/>
        </w:rPr>
      </w:pPr>
      <w:hyperlink r:id="rId11" w:history="1">
        <w:r w:rsidRPr="004C119A">
          <w:rPr>
            <w:rStyle w:val="Hyperlink"/>
            <w:rFonts w:ascii="Arial" w:eastAsia="Times New Roman" w:hAnsi="Arial" w:cs="Arial"/>
            <w:lang w:val="mk-MK"/>
          </w:rPr>
          <w:t>https://www.energy-community.org/news/Energy-Community-News/2022/09/01.html</w:t>
        </w:r>
      </w:hyperlink>
      <w:r w:rsidRPr="004C119A">
        <w:rPr>
          <w:rFonts w:ascii="Arial" w:eastAsia="Times New Roman" w:hAnsi="Arial" w:cs="Arial"/>
          <w:color w:val="000000"/>
          <w:lang w:val="mk-MK"/>
        </w:rPr>
        <w:t xml:space="preserve"> </w:t>
      </w:r>
    </w:p>
    <w:p w:rsidR="007C6E3D" w:rsidRPr="004C119A" w:rsidRDefault="007C6E3D" w:rsidP="007C6E3D">
      <w:pPr>
        <w:shd w:val="clear" w:color="auto" w:fill="FFFFFF"/>
        <w:spacing w:after="0" w:line="240" w:lineRule="auto"/>
        <w:jc w:val="both"/>
        <w:rPr>
          <w:rFonts w:ascii="Arial" w:eastAsia="Times New Roman" w:hAnsi="Arial" w:cs="Arial"/>
          <w:color w:val="000000"/>
          <w:lang w:val="mk-MK"/>
        </w:rPr>
      </w:pPr>
    </w:p>
    <w:p w:rsidR="007C6E3D" w:rsidRPr="004C119A" w:rsidRDefault="007C6E3D" w:rsidP="007C6E3D">
      <w:pPr>
        <w:shd w:val="clear" w:color="auto" w:fill="FFFFFF"/>
        <w:spacing w:after="0" w:line="240" w:lineRule="auto"/>
        <w:jc w:val="both"/>
        <w:rPr>
          <w:rFonts w:ascii="Arial" w:eastAsia="Times New Roman" w:hAnsi="Arial" w:cs="Arial"/>
          <w:color w:val="000000"/>
          <w:lang w:val="mk-MK"/>
        </w:rPr>
      </w:pPr>
      <w:r w:rsidRPr="004C119A">
        <w:rPr>
          <w:rFonts w:ascii="Arial" w:eastAsia="Times New Roman" w:hAnsi="Arial" w:cs="Arial"/>
          <w:color w:val="000000"/>
          <w:lang w:val="mk-MK"/>
        </w:rPr>
        <w:t>Регулативата за управување</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hyperlink r:id="rId12" w:history="1">
        <w:r w:rsidRPr="00B738B8">
          <w:rPr>
            <w:rFonts w:ascii="Arial" w:eastAsia="Times New Roman" w:hAnsi="Arial" w:cs="Arial"/>
            <w:color w:val="1155CC"/>
            <w:u w:val="single"/>
          </w:rPr>
          <w:t>https://www.energy-community.org/dam/jcr:e24c911e-f0f6-4f26-a152-ec79d85ee1a4/REGULATION_EU_2018-1999.pdf</w:t>
        </w:r>
      </w:hyperlink>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7C6E3D">
      <w:pPr>
        <w:shd w:val="clear" w:color="auto" w:fill="FFFFFF"/>
        <w:spacing w:after="0" w:line="240" w:lineRule="auto"/>
        <w:jc w:val="both"/>
        <w:rPr>
          <w:rFonts w:ascii="Arial" w:eastAsia="Times New Roman" w:hAnsi="Arial" w:cs="Arial"/>
          <w:b/>
          <w:color w:val="000000"/>
          <w:lang w:val="mk-MK"/>
        </w:rPr>
      </w:pPr>
      <w:r w:rsidRPr="00B738B8">
        <w:rPr>
          <w:rFonts w:ascii="Arial" w:eastAsia="Times New Roman" w:hAnsi="Arial" w:cs="Arial"/>
          <w:b/>
          <w:color w:val="000000"/>
          <w:lang w:val="mk-MK"/>
        </w:rPr>
        <w:t>Национални енергетски и климатски планови</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lastRenderedPageBreak/>
        <w:t>Националните енергетски и климатски планови се документи кои служат за имплементација на конкретни таргетирани и навремени активности во една земја. Тие се 10-годишни интегрирани крос-секторски планови кои ја обезбедуваат потребната координација помеѓу сите владини сектори, но исто така и навремено вклучување и учество на многу други засегнати страни, што треба да резултира со ниво на планирање кои ќе го олеснат приватното и јавно финансирање. Секој план треба да ја адресира рамката поставена од Енергетската унија, базирана на трите долгорочни цели за ЕУ енергетската политика: безбедност на снабдувањето, одржливост и компетитивност. За да се постигнат овие цели, Енергетската унија се фокусира на 5 меѓусебно поврзани димензии:</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Декарбонизација (вклучувајќи обновливи извори на енергија);</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Енергетска ефикасност;</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Енергетска безбедност;</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Внатрешен енергетски пазар; и</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Истражување, иновација, и компетитивност.</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ЕУ има јасна и правно-обврзувачка рамка за овие планови. Целта е да се испорачаат климатските и енергетски цели за 2030 определени од ЕУ законодавството и да се придонесе до исполнување на глобалната долгорочна цел од Парискиот договор. Така, почнувајќи од 2018, ЕУ земјите-членки мораа да подготват интегрирани енергетски и климатски планови, со цел да испорачаат конкретни таргети за енергетска ефикасност, намалување на стакленичките гасови и удел на обновливи извори. Истовреено, адресирајќи ги синергиите помеѓу вкрстените прашања, како и истражувањето и иновацијата во енергетските и климатските политики и мерки.</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7C6E3D">
      <w:pPr>
        <w:shd w:val="clear" w:color="auto" w:fill="FFFFFF"/>
        <w:spacing w:after="0" w:line="240" w:lineRule="auto"/>
        <w:jc w:val="both"/>
        <w:rPr>
          <w:rFonts w:ascii="Arial" w:eastAsia="Times New Roman" w:hAnsi="Arial" w:cs="Arial"/>
          <w:b/>
          <w:color w:val="000000"/>
          <w:lang w:val="mk-MK"/>
        </w:rPr>
      </w:pPr>
      <w:r w:rsidRPr="00B738B8">
        <w:rPr>
          <w:rFonts w:ascii="Arial" w:eastAsia="Times New Roman" w:hAnsi="Arial" w:cs="Arial"/>
          <w:b/>
          <w:color w:val="000000"/>
          <w:lang w:val="mk-MK"/>
        </w:rPr>
        <w:t>Формалниот процес за креирање и усвојување на НЕКП на Западен Балкан</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 xml:space="preserve">Секретаријатот на Енергетската Заедница (ЕЗ) го фасилитира процесот на развивање и усвојување на НЕКП преку носењето на препораки за содржината и структурата на националните планови, како и процесот за нивно усвојување и проверка. Тој воведе и распоред за поднесување на нацрти и усвоени финални НЕКП до ЕЗ, како и за поднесување на ревидирани верзии и извештаи за спроведување. Со цел успешно донесување финални НЕКП од земјите лченки, Секретаријатот исто така донесува препораки по конкретните нацрт НЕКП доставени до нив. Според поставениот прв временски распоред, првите финални НЕКП требаше да бидат усвоени до крајот на 2020. Целиот процес е регулиран согласно ЕУ Регулативата за управување. </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7C6E3D">
      <w:pPr>
        <w:shd w:val="clear" w:color="auto" w:fill="FFFFFF"/>
        <w:spacing w:after="0" w:line="240" w:lineRule="auto"/>
        <w:jc w:val="both"/>
        <w:rPr>
          <w:rFonts w:ascii="Arial" w:eastAsia="Times New Roman" w:hAnsi="Arial" w:cs="Arial"/>
          <w:b/>
          <w:bCs/>
          <w:color w:val="000000"/>
        </w:rPr>
      </w:pPr>
      <w:r w:rsidRPr="00B738B8">
        <w:rPr>
          <w:rFonts w:ascii="Arial" w:eastAsia="Times New Roman" w:hAnsi="Arial" w:cs="Arial"/>
          <w:b/>
          <w:color w:val="000000"/>
          <w:lang w:val="mk-MK"/>
        </w:rPr>
        <w:t>Алатката за процена на ефективноста на НЕКП на</w:t>
      </w:r>
      <w:r w:rsidRPr="00B738B8">
        <w:rPr>
          <w:rFonts w:ascii="Arial" w:eastAsia="Times New Roman" w:hAnsi="Arial" w:cs="Arial"/>
          <w:color w:val="000000"/>
          <w:lang w:val="mk-MK"/>
        </w:rPr>
        <w:t xml:space="preserve"> </w:t>
      </w:r>
      <w:r w:rsidRPr="00FD194F">
        <w:rPr>
          <w:rFonts w:ascii="Arial" w:eastAsia="Times New Roman" w:hAnsi="Arial" w:cs="Arial"/>
          <w:b/>
          <w:bCs/>
          <w:color w:val="000000"/>
        </w:rPr>
        <w:t>CAN Europe</w:t>
      </w:r>
    </w:p>
    <w:p w:rsidR="007C6E3D" w:rsidRPr="00B738B8" w:rsidRDefault="007C6E3D" w:rsidP="007C6E3D">
      <w:pPr>
        <w:shd w:val="clear" w:color="auto" w:fill="FFFFFF"/>
        <w:spacing w:after="0" w:line="240" w:lineRule="auto"/>
        <w:jc w:val="both"/>
        <w:rPr>
          <w:rFonts w:ascii="Arial" w:eastAsia="Times New Roman" w:hAnsi="Arial" w:cs="Arial"/>
          <w:b/>
          <w:bCs/>
          <w:color w:val="000000"/>
        </w:rPr>
      </w:pPr>
    </w:p>
    <w:p w:rsidR="007C6E3D" w:rsidRPr="00B738B8" w:rsidRDefault="007C6E3D" w:rsidP="007C6E3D">
      <w:pPr>
        <w:shd w:val="clear" w:color="auto" w:fill="FFFFFF"/>
        <w:spacing w:after="0" w:line="240" w:lineRule="auto"/>
        <w:jc w:val="both"/>
        <w:rPr>
          <w:rFonts w:ascii="Arial" w:eastAsia="Times New Roman" w:hAnsi="Arial" w:cs="Arial"/>
          <w:bCs/>
          <w:color w:val="000000"/>
          <w:lang w:val="mk-MK"/>
        </w:rPr>
      </w:pPr>
      <w:r w:rsidRPr="00FD194F">
        <w:rPr>
          <w:rFonts w:ascii="Arial" w:eastAsia="Times New Roman" w:hAnsi="Arial" w:cs="Arial"/>
          <w:bCs/>
          <w:color w:val="000000"/>
        </w:rPr>
        <w:t>CAN Europe</w:t>
      </w:r>
      <w:r w:rsidRPr="00B738B8">
        <w:rPr>
          <w:rFonts w:ascii="Arial" w:eastAsia="Times New Roman" w:hAnsi="Arial" w:cs="Arial"/>
          <w:bCs/>
          <w:color w:val="000000"/>
          <w:lang w:val="mk-MK"/>
        </w:rPr>
        <w:t xml:space="preserve"> дизајнираше квалитативна алатка за евалуација на усвоените НЕКП фокусирајќи се на 5 клучни сегменти:</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Изнесена климатска и енергетска амбиција: оцена на целите за редукција на стакленички гасови, удел на обновливи извори за енергија и енергетска ефикасност;</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Конзистентност: усогласеност со Регулативата за управување, кохерентност помеѓу НЕКП и другите политики и стратегии, како и компатибилност со потребата за напуштање на фосилните горива,</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Кредибилитет: се цени преку финансиите кои се алоцирани за усвојување на климатските и енергетските цели, специфичните политики и мерки, и социјалните и ефектите врз животната средина;</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t>Транспарентност: Евалуација на ефективноста на јавните консултации и учеството на повеќе засегнати страни;</w:t>
      </w:r>
    </w:p>
    <w:p w:rsidR="007C6E3D" w:rsidRPr="00B738B8" w:rsidRDefault="007C6E3D" w:rsidP="007C6E3D">
      <w:pPr>
        <w:pStyle w:val="ListParagraph"/>
        <w:numPr>
          <w:ilvl w:val="0"/>
          <w:numId w:val="5"/>
        </w:numPr>
        <w:shd w:val="clear" w:color="auto" w:fill="FFFFFF"/>
        <w:spacing w:after="0" w:line="240" w:lineRule="auto"/>
        <w:jc w:val="both"/>
        <w:rPr>
          <w:rFonts w:ascii="Arial" w:eastAsia="Times New Roman" w:hAnsi="Arial" w:cs="Arial"/>
          <w:color w:val="000000"/>
          <w:lang w:val="mk-MK"/>
        </w:rPr>
      </w:pPr>
      <w:r w:rsidRPr="00B738B8">
        <w:rPr>
          <w:rFonts w:ascii="Arial" w:eastAsia="Times New Roman" w:hAnsi="Arial" w:cs="Arial"/>
          <w:color w:val="000000"/>
          <w:lang w:val="mk-MK"/>
        </w:rPr>
        <w:lastRenderedPageBreak/>
        <w:t>Регионални аспекти: се цени дали националните енергетски и климатски планови на земјите се комплементарни и, каде е можно, се поддржуваат меѓусебно.</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Pr="00B738B8" w:rsidRDefault="007C6E3D" w:rsidP="007C6E3D">
      <w:pPr>
        <w:shd w:val="clear" w:color="auto" w:fill="FFFFFF"/>
        <w:spacing w:after="0" w:line="240" w:lineRule="auto"/>
        <w:jc w:val="both"/>
        <w:rPr>
          <w:rFonts w:ascii="Arial" w:eastAsia="Times New Roman" w:hAnsi="Arial" w:cs="Arial"/>
          <w:b/>
          <w:color w:val="000000"/>
        </w:rPr>
      </w:pPr>
      <w:r w:rsidRPr="00B738B8">
        <w:rPr>
          <w:rFonts w:ascii="Arial" w:eastAsia="Times New Roman" w:hAnsi="Arial" w:cs="Arial"/>
          <w:b/>
          <w:color w:val="000000"/>
          <w:lang w:val="mk-MK"/>
        </w:rPr>
        <w:t>Контакт</w:t>
      </w:r>
      <w:r w:rsidRPr="00B738B8">
        <w:rPr>
          <w:rFonts w:ascii="Arial" w:eastAsia="Times New Roman" w:hAnsi="Arial" w:cs="Arial"/>
          <w:b/>
          <w:color w:val="000000"/>
        </w:rPr>
        <w:t>:</w:t>
      </w:r>
    </w:p>
    <w:p w:rsidR="007C6E3D" w:rsidRDefault="007C6E3D" w:rsidP="007C6E3D">
      <w:pPr>
        <w:shd w:val="clear" w:color="auto" w:fill="FFFFFF"/>
        <w:spacing w:after="0" w:line="240" w:lineRule="auto"/>
        <w:jc w:val="both"/>
        <w:rPr>
          <w:rFonts w:ascii="Arial" w:eastAsia="Times New Roman" w:hAnsi="Arial" w:cs="Arial"/>
          <w:color w:val="1155CC"/>
          <w:u w:val="single"/>
        </w:rPr>
      </w:pPr>
      <w:r w:rsidRPr="00B738B8">
        <w:rPr>
          <w:rFonts w:ascii="Arial" w:eastAsia="Times New Roman" w:hAnsi="Arial" w:cs="Arial"/>
          <w:color w:val="000000"/>
          <w:lang w:val="mk-MK"/>
        </w:rPr>
        <w:t>Фросина Антоновска, Офицер за енергетски и климатски политики за Западен Балкан, Мрежа за климатска акција (</w:t>
      </w:r>
      <w:r w:rsidRPr="00FD194F">
        <w:rPr>
          <w:rFonts w:ascii="Arial" w:eastAsia="Times New Roman" w:hAnsi="Arial" w:cs="Arial"/>
          <w:bCs/>
          <w:color w:val="000000"/>
        </w:rPr>
        <w:t>CAN Europe</w:t>
      </w:r>
      <w:r w:rsidRPr="00B738B8">
        <w:rPr>
          <w:rFonts w:ascii="Arial" w:eastAsia="Times New Roman" w:hAnsi="Arial" w:cs="Arial"/>
          <w:color w:val="000000"/>
          <w:lang w:val="mk-MK"/>
        </w:rPr>
        <w:t xml:space="preserve">), </w:t>
      </w:r>
      <w:hyperlink r:id="rId13" w:history="1">
        <w:r w:rsidRPr="00B738B8">
          <w:rPr>
            <w:rFonts w:ascii="Arial" w:eastAsia="Times New Roman" w:hAnsi="Arial" w:cs="Arial"/>
            <w:color w:val="1155CC"/>
            <w:u w:val="single"/>
          </w:rPr>
          <w:t>frosina.antonovska@caneurope.org</w:t>
        </w:r>
      </w:hyperlink>
      <w:r>
        <w:rPr>
          <w:rFonts w:ascii="Arial" w:eastAsia="Times New Roman" w:hAnsi="Arial" w:cs="Arial"/>
          <w:color w:val="1155CC"/>
          <w:u w:val="single"/>
        </w:rPr>
        <w:t xml:space="preserve">, </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r w:rsidRPr="007E377B">
        <w:rPr>
          <w:rFonts w:ascii="Arial" w:eastAsia="Times New Roman" w:hAnsi="Arial" w:cs="Arial"/>
          <w:color w:val="000000"/>
        </w:rPr>
        <w:t>+389/ 70913193</w:t>
      </w:r>
    </w:p>
    <w:p w:rsidR="007C6E3D" w:rsidRPr="00B738B8" w:rsidRDefault="007C6E3D" w:rsidP="007C6E3D">
      <w:pPr>
        <w:shd w:val="clear" w:color="auto" w:fill="FFFFFF"/>
        <w:spacing w:after="0" w:line="240" w:lineRule="auto"/>
        <w:jc w:val="both"/>
        <w:rPr>
          <w:rFonts w:ascii="Arial" w:eastAsia="Times New Roman" w:hAnsi="Arial" w:cs="Arial"/>
          <w:color w:val="000000"/>
          <w:lang w:val="mk-MK"/>
        </w:rPr>
      </w:pPr>
    </w:p>
    <w:p w:rsidR="007C6E3D" w:rsidRDefault="007C6E3D" w:rsidP="007C6E3D">
      <w:pPr>
        <w:shd w:val="clear" w:color="auto" w:fill="FFFFFF"/>
        <w:spacing w:after="0" w:line="240" w:lineRule="auto"/>
        <w:jc w:val="both"/>
        <w:rPr>
          <w:rFonts w:ascii="Arial" w:eastAsia="Times New Roman" w:hAnsi="Arial" w:cs="Arial"/>
          <w:color w:val="000000"/>
        </w:rPr>
      </w:pPr>
      <w:r w:rsidRPr="00B738B8">
        <w:rPr>
          <w:rFonts w:ascii="Arial" w:eastAsia="Times New Roman" w:hAnsi="Arial" w:cs="Arial"/>
          <w:color w:val="000000"/>
          <w:lang w:val="mk-MK"/>
        </w:rPr>
        <w:t>Маша Перович, Координатор за комуникации, Мрежа за климатска акција (</w:t>
      </w:r>
      <w:r w:rsidRPr="00FD194F">
        <w:rPr>
          <w:rFonts w:ascii="Arial" w:eastAsia="Times New Roman" w:hAnsi="Arial" w:cs="Arial"/>
          <w:color w:val="000000"/>
        </w:rPr>
        <w:t>CAN Europe</w:t>
      </w:r>
      <w:r w:rsidRPr="00B738B8">
        <w:rPr>
          <w:rFonts w:ascii="Arial" w:eastAsia="Times New Roman" w:hAnsi="Arial" w:cs="Arial"/>
          <w:color w:val="000000"/>
          <w:lang w:val="mk-MK"/>
        </w:rPr>
        <w:t>)</w:t>
      </w:r>
      <w:r w:rsidRPr="00FD194F">
        <w:rPr>
          <w:rFonts w:ascii="Arial" w:eastAsia="Times New Roman" w:hAnsi="Arial" w:cs="Arial"/>
          <w:color w:val="000000"/>
        </w:rPr>
        <w:t xml:space="preserve">, </w:t>
      </w:r>
      <w:hyperlink r:id="rId14" w:history="1">
        <w:r w:rsidRPr="00D470A8">
          <w:rPr>
            <w:rStyle w:val="Hyperlink"/>
            <w:rFonts w:ascii="Arial" w:eastAsia="Times New Roman" w:hAnsi="Arial" w:cs="Arial"/>
          </w:rPr>
          <w:t>masha.perovic@caneurope.org</w:t>
        </w:r>
      </w:hyperlink>
      <w:r w:rsidRPr="00FD194F">
        <w:rPr>
          <w:rFonts w:ascii="Arial" w:eastAsia="Times New Roman" w:hAnsi="Arial" w:cs="Arial"/>
          <w:color w:val="000000"/>
        </w:rPr>
        <w:t> </w:t>
      </w:r>
      <w:r>
        <w:rPr>
          <w:rFonts w:ascii="Arial" w:eastAsia="Times New Roman" w:hAnsi="Arial" w:cs="Arial"/>
          <w:color w:val="000000"/>
        </w:rPr>
        <w:t xml:space="preserve">, +381/638411566 </w:t>
      </w:r>
    </w:p>
    <w:p w:rsidR="00A146E8" w:rsidRPr="00B738B8" w:rsidRDefault="00A146E8" w:rsidP="007C6E3D">
      <w:pPr>
        <w:shd w:val="clear" w:color="auto" w:fill="FFFFFF"/>
        <w:spacing w:after="0" w:line="240" w:lineRule="auto"/>
        <w:jc w:val="both"/>
        <w:rPr>
          <w:rFonts w:ascii="Arial" w:eastAsia="Times New Roman" w:hAnsi="Arial" w:cs="Arial"/>
          <w:color w:val="000000"/>
          <w:lang w:val="mk-MK"/>
        </w:rPr>
      </w:pPr>
    </w:p>
    <w:p w:rsidR="007C6E3D" w:rsidRDefault="00A146E8" w:rsidP="00FF1F03">
      <w:pPr>
        <w:spacing w:after="0" w:line="240" w:lineRule="auto"/>
        <w:jc w:val="right"/>
        <w:rPr>
          <w:rFonts w:ascii="Arial" w:eastAsia="Times New Roman" w:hAnsi="Arial" w:cs="Arial"/>
          <w:b/>
          <w:bCs/>
          <w:color w:val="000000"/>
          <w:sz w:val="32"/>
          <w:szCs w:val="32"/>
        </w:rPr>
      </w:pPr>
      <w:r>
        <w:rPr>
          <w:rFonts w:ascii="Arial" w:hAnsi="Arial" w:cs="Arial"/>
          <w:noProof/>
        </w:rPr>
        <w:drawing>
          <wp:anchor distT="0" distB="0" distL="114300" distR="114300" simplePos="0" relativeHeight="251660288" behindDoc="1" locked="0" layoutInCell="1" allowOverlap="1" wp14:anchorId="09C70D5B" wp14:editId="34580472">
            <wp:simplePos x="0" y="0"/>
            <wp:positionH relativeFrom="column">
              <wp:posOffset>10795</wp:posOffset>
            </wp:positionH>
            <wp:positionV relativeFrom="paragraph">
              <wp:posOffset>107315</wp:posOffset>
            </wp:positionV>
            <wp:extent cx="996950" cy="1093470"/>
            <wp:effectExtent l="0" t="0" r="0" b="0"/>
            <wp:wrapTight wrapText="bothSides">
              <wp:wrapPolygon edited="0">
                <wp:start x="0" y="0"/>
                <wp:lineTo x="0" y="21073"/>
                <wp:lineTo x="21050" y="21073"/>
                <wp:lineTo x="210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logo-rg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6950" cy="1093470"/>
                    </a:xfrm>
                    <a:prstGeom prst="rect">
                      <a:avLst/>
                    </a:prstGeom>
                  </pic:spPr>
                </pic:pic>
              </a:graphicData>
            </a:graphic>
          </wp:anchor>
        </w:drawing>
      </w:r>
    </w:p>
    <w:p w:rsidR="00FF1F03" w:rsidRDefault="004C119A" w:rsidP="00FF1F03">
      <w:pPr>
        <w:spacing w:after="0" w:line="240" w:lineRule="auto"/>
        <w:jc w:val="right"/>
        <w:rPr>
          <w:rFonts w:ascii="Arial" w:eastAsia="Times New Roman" w:hAnsi="Arial" w:cs="Arial"/>
          <w:b/>
          <w:bCs/>
          <w:color w:val="000000"/>
          <w:sz w:val="32"/>
          <w:szCs w:val="32"/>
        </w:rPr>
      </w:pPr>
      <w:r>
        <w:rPr>
          <w:rFonts w:ascii="Arial" w:eastAsia="Times New Roman" w:hAnsi="Arial" w:cs="Arial"/>
          <w:b/>
          <w:bCs/>
          <w:color w:val="000000"/>
          <w:sz w:val="32"/>
          <w:szCs w:val="32"/>
        </w:rPr>
        <w:t>PRESS RELEASE</w:t>
      </w:r>
    </w:p>
    <w:p w:rsidR="004C119A" w:rsidRDefault="00FF1F03" w:rsidP="00FF1F03">
      <w:pPr>
        <w:spacing w:after="0" w:line="240" w:lineRule="auto"/>
        <w:jc w:val="right"/>
        <w:rPr>
          <w:rFonts w:ascii="Arial" w:eastAsia="Times New Roman" w:hAnsi="Arial" w:cs="Arial"/>
          <w:b/>
          <w:bCs/>
          <w:color w:val="000000"/>
          <w:sz w:val="32"/>
          <w:szCs w:val="32"/>
        </w:rPr>
      </w:pPr>
      <w:r>
        <w:rPr>
          <w:rFonts w:ascii="Arial" w:eastAsia="Times New Roman" w:hAnsi="Arial" w:cs="Arial"/>
          <w:b/>
          <w:bCs/>
          <w:color w:val="000000"/>
          <w:sz w:val="32"/>
          <w:szCs w:val="32"/>
        </w:rPr>
        <w:t>10 November 2022</w:t>
      </w:r>
      <w:r w:rsidR="004C119A">
        <w:rPr>
          <w:rFonts w:ascii="Arial" w:eastAsia="Times New Roman" w:hAnsi="Arial" w:cs="Arial"/>
          <w:b/>
          <w:bCs/>
          <w:color w:val="000000"/>
          <w:sz w:val="32"/>
          <w:szCs w:val="32"/>
        </w:rPr>
        <w:t xml:space="preserve"> </w:t>
      </w:r>
    </w:p>
    <w:p w:rsidR="004C119A" w:rsidRDefault="004C119A" w:rsidP="00FD194F">
      <w:pPr>
        <w:spacing w:after="0" w:line="240" w:lineRule="auto"/>
        <w:rPr>
          <w:rFonts w:ascii="Arial" w:eastAsia="Times New Roman" w:hAnsi="Arial" w:cs="Arial"/>
          <w:b/>
          <w:bCs/>
          <w:color w:val="000000"/>
          <w:sz w:val="32"/>
          <w:szCs w:val="32"/>
        </w:rPr>
      </w:pPr>
    </w:p>
    <w:p w:rsidR="00A146E8" w:rsidRDefault="00A146E8" w:rsidP="00FD194F">
      <w:pPr>
        <w:spacing w:after="0" w:line="240" w:lineRule="auto"/>
        <w:rPr>
          <w:rFonts w:ascii="Arial" w:eastAsia="Times New Roman" w:hAnsi="Arial" w:cs="Arial"/>
          <w:b/>
          <w:bCs/>
          <w:color w:val="000000"/>
          <w:sz w:val="32"/>
          <w:szCs w:val="32"/>
        </w:rPr>
      </w:pPr>
    </w:p>
    <w:p w:rsidR="00A146E8" w:rsidRDefault="00A146E8" w:rsidP="00FD194F">
      <w:pPr>
        <w:spacing w:after="0" w:line="240" w:lineRule="auto"/>
        <w:rPr>
          <w:rFonts w:ascii="Arial" w:eastAsia="Times New Roman" w:hAnsi="Arial" w:cs="Arial"/>
          <w:b/>
          <w:bCs/>
          <w:color w:val="000000"/>
          <w:sz w:val="32"/>
          <w:szCs w:val="32"/>
        </w:rPr>
      </w:pPr>
    </w:p>
    <w:p w:rsidR="00FD194F" w:rsidRPr="00FD194F" w:rsidRDefault="00FD194F" w:rsidP="00FD194F">
      <w:pPr>
        <w:spacing w:after="0" w:line="240" w:lineRule="auto"/>
        <w:rPr>
          <w:rFonts w:ascii="Times New Roman" w:eastAsia="Times New Roman" w:hAnsi="Times New Roman" w:cs="Times New Roman"/>
          <w:sz w:val="24"/>
          <w:szCs w:val="24"/>
        </w:rPr>
      </w:pPr>
      <w:r w:rsidRPr="00FD194F">
        <w:rPr>
          <w:rFonts w:ascii="Arial" w:eastAsia="Times New Roman" w:hAnsi="Arial" w:cs="Arial"/>
          <w:b/>
          <w:bCs/>
          <w:color w:val="000000"/>
          <w:sz w:val="32"/>
          <w:szCs w:val="32"/>
        </w:rPr>
        <w:t>Two years after Sofia: limited progress of national climate and energy plans in the Western Balkans, new report by CAN Europe warns</w:t>
      </w:r>
      <w:r w:rsidRPr="00FD194F">
        <w:rPr>
          <w:rFonts w:ascii="Times New Roman" w:eastAsia="Times New Roman" w:hAnsi="Times New Roman" w:cs="Times New Roman"/>
          <w:sz w:val="24"/>
          <w:szCs w:val="24"/>
        </w:rPr>
        <w:br/>
      </w:r>
    </w:p>
    <w:p w:rsidR="00FD194F" w:rsidRPr="00FD194F" w:rsidRDefault="00FD194F" w:rsidP="00FD194F">
      <w:pPr>
        <w:numPr>
          <w:ilvl w:val="0"/>
          <w:numId w:val="6"/>
        </w:numPr>
        <w:spacing w:after="0" w:line="240" w:lineRule="auto"/>
        <w:textAlignment w:val="baseline"/>
        <w:rPr>
          <w:rFonts w:ascii="Arial" w:eastAsia="Times New Roman" w:hAnsi="Arial" w:cs="Arial"/>
          <w:color w:val="000000"/>
        </w:rPr>
      </w:pPr>
      <w:r w:rsidRPr="00FD194F">
        <w:rPr>
          <w:rFonts w:ascii="Arial" w:eastAsia="Times New Roman" w:hAnsi="Arial" w:cs="Arial"/>
          <w:color w:val="000000"/>
        </w:rPr>
        <w:t>CAN Europe analysis of National Energy and Climate Plans for Western Balkans states shows that the progress of creating and adopting these national plans across the region needs to pick up pace to keep up with climate neutrality goals. </w:t>
      </w:r>
    </w:p>
    <w:p w:rsidR="00FD194F" w:rsidRPr="00FD194F" w:rsidRDefault="00FD194F" w:rsidP="00FD194F">
      <w:pPr>
        <w:numPr>
          <w:ilvl w:val="0"/>
          <w:numId w:val="6"/>
        </w:numPr>
        <w:spacing w:after="0" w:line="240" w:lineRule="auto"/>
        <w:textAlignment w:val="baseline"/>
        <w:rPr>
          <w:rFonts w:ascii="Arial" w:eastAsia="Times New Roman" w:hAnsi="Arial" w:cs="Arial"/>
          <w:color w:val="000000"/>
        </w:rPr>
      </w:pPr>
      <w:r w:rsidRPr="00FD194F">
        <w:rPr>
          <w:rFonts w:ascii="Arial" w:eastAsia="Times New Roman" w:hAnsi="Arial" w:cs="Arial"/>
          <w:color w:val="000000"/>
        </w:rPr>
        <w:t>Only Albania and North Macedonia managed to submit drafts and final versions of the NECPs so far, although the plans still need to be better integrated and apply a cross-sectoral approach.</w:t>
      </w:r>
    </w:p>
    <w:p w:rsidR="00FD194F" w:rsidRPr="00FD194F" w:rsidRDefault="00FD194F" w:rsidP="00FD194F">
      <w:pPr>
        <w:numPr>
          <w:ilvl w:val="0"/>
          <w:numId w:val="6"/>
        </w:numPr>
        <w:spacing w:after="0" w:line="240" w:lineRule="auto"/>
        <w:textAlignment w:val="baseline"/>
        <w:rPr>
          <w:rFonts w:ascii="Arial" w:eastAsia="Times New Roman" w:hAnsi="Arial" w:cs="Arial"/>
          <w:color w:val="000000"/>
        </w:rPr>
      </w:pPr>
      <w:r w:rsidRPr="00FD194F">
        <w:rPr>
          <w:rFonts w:ascii="Arial" w:eastAsia="Times New Roman" w:hAnsi="Arial" w:cs="Arial"/>
          <w:color w:val="000000"/>
        </w:rPr>
        <w:t xml:space="preserve">The national plans need to apply effective climate and energy policies and measures that will pave the way towards </w:t>
      </w:r>
      <w:proofErr w:type="spellStart"/>
      <w:r w:rsidRPr="00FD194F">
        <w:rPr>
          <w:rFonts w:ascii="Arial" w:eastAsia="Times New Roman" w:hAnsi="Arial" w:cs="Arial"/>
          <w:color w:val="000000"/>
        </w:rPr>
        <w:t>decarbonising</w:t>
      </w:r>
      <w:proofErr w:type="spellEnd"/>
      <w:r w:rsidRPr="00FD194F">
        <w:rPr>
          <w:rFonts w:ascii="Arial" w:eastAsia="Times New Roman" w:hAnsi="Arial" w:cs="Arial"/>
          <w:color w:val="000000"/>
        </w:rPr>
        <w:t xml:space="preserve"> the region by </w:t>
      </w:r>
      <w:proofErr w:type="spellStart"/>
      <w:r w:rsidRPr="00FD194F">
        <w:rPr>
          <w:rFonts w:ascii="Arial" w:eastAsia="Times New Roman" w:hAnsi="Arial" w:cs="Arial"/>
          <w:color w:val="000000"/>
        </w:rPr>
        <w:t>mid century</w:t>
      </w:r>
      <w:proofErr w:type="spellEnd"/>
      <w:r w:rsidRPr="00FD194F">
        <w:rPr>
          <w:rFonts w:ascii="Arial" w:eastAsia="Times New Roman" w:hAnsi="Arial" w:cs="Arial"/>
          <w:color w:val="000000"/>
        </w:rPr>
        <w:t>, a commitment made by the Western Balkan leaders.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b/>
          <w:bCs/>
          <w:color w:val="000000"/>
        </w:rPr>
        <w:t>Brussels/Skopje/Tirana, 11 November 2022 -</w:t>
      </w:r>
      <w:r w:rsidRPr="00FD194F">
        <w:rPr>
          <w:rFonts w:ascii="Arial" w:eastAsia="Times New Roman" w:hAnsi="Arial" w:cs="Arial"/>
          <w:color w:val="000000"/>
        </w:rPr>
        <w:t xml:space="preserve">  </w:t>
      </w:r>
      <w:r w:rsidR="00B50624">
        <w:rPr>
          <w:rFonts w:ascii="Arial" w:hAnsi="Arial" w:cs="Arial"/>
          <w:color w:val="000000"/>
        </w:rPr>
        <w:t xml:space="preserve">To mark the second anniversary of the Sofia Declaration, a </w:t>
      </w:r>
      <w:hyperlink r:id="rId16" w:tgtFrame="_blank" w:history="1">
        <w:r w:rsidR="00B50624">
          <w:rPr>
            <w:rStyle w:val="Hyperlink"/>
            <w:rFonts w:ascii="Arial" w:hAnsi="Arial" w:cs="Arial"/>
            <w:color w:val="1155CC"/>
          </w:rPr>
          <w:t>new report</w:t>
        </w:r>
      </w:hyperlink>
      <w:r w:rsidR="00B50624">
        <w:rPr>
          <w:rFonts w:ascii="Arial" w:hAnsi="Arial" w:cs="Arial"/>
          <w:color w:val="000000"/>
        </w:rPr>
        <w:t xml:space="preserve"> by Climate Action Network (CAN) Europe warns of the limited progress of National Climate and Energy Plans (NECPs) in the Western Balkans. Further delays can compromise regional leaders’ promises to reduce the emission of greenhouse gases through applying effective policies, because these ten year plans are effectively one of the practical tools by which a country shows how it will achieve its 2030 energy and climate targets. This in turn should be a stepping stone for the countries to achieve climate neutrality by </w:t>
      </w:r>
      <w:proofErr w:type="spellStart"/>
      <w:r w:rsidR="00B50624">
        <w:rPr>
          <w:rFonts w:ascii="Arial" w:hAnsi="Arial" w:cs="Arial"/>
          <w:color w:val="000000"/>
        </w:rPr>
        <w:t>mid century</w:t>
      </w:r>
      <w:proofErr w:type="spellEnd"/>
      <w:r w:rsidR="00B50624">
        <w:rPr>
          <w:rFonts w:ascii="Arial" w:hAnsi="Arial" w:cs="Arial"/>
          <w:color w:val="000000"/>
        </w:rPr>
        <w:t xml:space="preserve">, a commitment made by all Western Balkan leaders at the </w:t>
      </w:r>
      <w:hyperlink r:id="rId17" w:tgtFrame="_blank" w:history="1">
        <w:r w:rsidR="00B50624">
          <w:rPr>
            <w:rStyle w:val="Hyperlink"/>
            <w:rFonts w:ascii="Arial" w:hAnsi="Arial" w:cs="Arial"/>
            <w:color w:val="1155CC"/>
          </w:rPr>
          <w:t>Sofia Declaration on 10th November 2020</w:t>
        </w:r>
      </w:hyperlink>
      <w:r w:rsidR="00B50624">
        <w:rPr>
          <w:rFonts w:ascii="Arial" w:hAnsi="Arial" w:cs="Arial"/>
          <w:color w:val="000000"/>
        </w:rPr>
        <w:t>.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 xml:space="preserve">Through an assessment tool created by CAN Europe, the report zooms into each Western Balkan state and assesses at what stage are the countries’ NECPs. The report highlights the need to improve the level of integrated energy and climate planning, with a detailed focus on the progress. So far only Albania and North Macedonia have adopted their NECPs. Other countries have begun </w:t>
      </w:r>
      <w:r w:rsidRPr="00FD194F">
        <w:rPr>
          <w:rFonts w:ascii="Arial" w:eastAsia="Times New Roman" w:hAnsi="Arial" w:cs="Arial"/>
          <w:color w:val="000000"/>
        </w:rPr>
        <w:lastRenderedPageBreak/>
        <w:t>the process and are at various preparation stages, with Serbia announcing the draft plan in early August this year, but with no progress since then.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 xml:space="preserve">The date for final submission of the national plans has been postponed by the Energy Community Secretariat until 30 June 2024. Nonetheless if the </w:t>
      </w:r>
      <w:r w:rsidR="00A9652C">
        <w:rPr>
          <w:rFonts w:ascii="Arial" w:eastAsia="Times New Roman" w:hAnsi="Arial" w:cs="Arial"/>
          <w:color w:val="000000"/>
        </w:rPr>
        <w:t>plans</w:t>
      </w:r>
      <w:r w:rsidRPr="00FD194F">
        <w:rPr>
          <w:rFonts w:ascii="Arial" w:eastAsia="Times New Roman" w:hAnsi="Arial" w:cs="Arial"/>
          <w:color w:val="000000"/>
        </w:rPr>
        <w:t xml:space="preserve"> are to be efficiently integrated and to ensure tangible results, the process needs to pick up speed immediately, the report highlights. </w:t>
      </w:r>
    </w:p>
    <w:p w:rsidR="004C119A" w:rsidRDefault="004C119A" w:rsidP="00FD194F">
      <w:pPr>
        <w:shd w:val="clear" w:color="auto" w:fill="FFFFFF"/>
        <w:spacing w:after="0" w:line="240" w:lineRule="auto"/>
        <w:jc w:val="both"/>
        <w:rPr>
          <w:rFonts w:ascii="Arial" w:eastAsia="Times New Roman" w:hAnsi="Arial" w:cs="Arial"/>
          <w:color w:val="000000"/>
        </w:rPr>
      </w:pPr>
    </w:p>
    <w:p w:rsidR="00FD194F" w:rsidRPr="00FD194F" w:rsidRDefault="001F6990" w:rsidP="00FD194F">
      <w:pPr>
        <w:shd w:val="clear" w:color="auto" w:fill="FFFFFF"/>
        <w:spacing w:after="0" w:line="240" w:lineRule="auto"/>
        <w:jc w:val="both"/>
        <w:rPr>
          <w:rFonts w:ascii="Times New Roman" w:eastAsia="Times New Roman" w:hAnsi="Times New Roman" w:cs="Times New Roman"/>
          <w:sz w:val="24"/>
          <w:szCs w:val="24"/>
        </w:rPr>
      </w:pPr>
      <w:r>
        <w:rPr>
          <w:rFonts w:ascii="Arial" w:hAnsi="Arial" w:cs="Arial"/>
          <w:color w:val="000000"/>
        </w:rPr>
        <w:t xml:space="preserve">In December 2022 the </w:t>
      </w:r>
      <w:hyperlink r:id="rId18" w:history="1">
        <w:r>
          <w:rPr>
            <w:rStyle w:val="Hyperlink"/>
            <w:rFonts w:ascii="Arial" w:hAnsi="Arial" w:cs="Arial"/>
            <w:color w:val="1155CC"/>
          </w:rPr>
          <w:t>Energy Community Ministerial Council</w:t>
        </w:r>
      </w:hyperlink>
      <w:r>
        <w:rPr>
          <w:rFonts w:ascii="Arial" w:hAnsi="Arial" w:cs="Arial"/>
          <w:color w:val="000000"/>
        </w:rPr>
        <w:t xml:space="preserve"> is expected to adopt national headline 2030 energy and climate targets, asking for an overall decrease of greenhouse gas emissions by 60.9% below 1990 levels, an increase to 31% of participation of renewable energy sources in gross final energy consumption, and cap the amount of primary energy consumption at 129.88 </w:t>
      </w:r>
      <w:proofErr w:type="spellStart"/>
      <w:r>
        <w:rPr>
          <w:rFonts w:ascii="Arial" w:hAnsi="Arial" w:cs="Arial"/>
          <w:color w:val="000000"/>
        </w:rPr>
        <w:t>Mtoe</w:t>
      </w:r>
      <w:proofErr w:type="spellEnd"/>
      <w:r>
        <w:rPr>
          <w:rFonts w:ascii="Arial" w:hAnsi="Arial" w:cs="Arial"/>
          <w:color w:val="000000"/>
        </w:rPr>
        <w:t xml:space="preserve"> and the amount of final energy consumption at 79.06 </w:t>
      </w:r>
      <w:proofErr w:type="spellStart"/>
      <w:r>
        <w:rPr>
          <w:rFonts w:ascii="Arial" w:hAnsi="Arial" w:cs="Arial"/>
          <w:color w:val="000000"/>
        </w:rPr>
        <w:t>Mtoe</w:t>
      </w:r>
      <w:proofErr w:type="spellEnd"/>
      <w:r>
        <w:rPr>
          <w:rFonts w:ascii="Arial" w:hAnsi="Arial" w:cs="Arial"/>
          <w:color w:val="000000"/>
        </w:rPr>
        <w:t xml:space="preserve"> at the level of the Energy Community. </w:t>
      </w:r>
      <w:bookmarkStart w:id="0" w:name="_GoBack"/>
      <w:bookmarkEnd w:id="0"/>
      <w:r w:rsidR="00FD194F" w:rsidRPr="00FD194F">
        <w:rPr>
          <w:rFonts w:ascii="Arial" w:eastAsia="Times New Roman" w:hAnsi="Arial" w:cs="Arial"/>
          <w:color w:val="000000"/>
        </w:rPr>
        <w:t xml:space="preserve">In order to achieve these </w:t>
      </w:r>
      <w:proofErr w:type="gramStart"/>
      <w:r w:rsidR="00FD194F" w:rsidRPr="00FD194F">
        <w:rPr>
          <w:rFonts w:ascii="Arial" w:eastAsia="Times New Roman" w:hAnsi="Arial" w:cs="Arial"/>
          <w:color w:val="000000"/>
        </w:rPr>
        <w:t>targets</w:t>
      </w:r>
      <w:proofErr w:type="gramEnd"/>
      <w:r w:rsidR="00FD194F" w:rsidRPr="00FD194F">
        <w:rPr>
          <w:rFonts w:ascii="Arial" w:eastAsia="Times New Roman" w:hAnsi="Arial" w:cs="Arial"/>
          <w:color w:val="000000"/>
        </w:rPr>
        <w:t xml:space="preserve"> the NECP working groups, established by each state as the Contracting Party to the Energy Community, will need to improve the design of policies and measures. Furthermore, transparency and effective public participation must be enhanced in the development of the draft national plans that will have to be submitted to the Energy Community Secretariat in June 2023. As Western Balkan countries are also obliged to implement and transpose the </w:t>
      </w:r>
      <w:hyperlink r:id="rId19" w:history="1">
        <w:r w:rsidR="00FD194F" w:rsidRPr="00FD194F">
          <w:rPr>
            <w:rFonts w:ascii="Arial" w:eastAsia="Times New Roman" w:hAnsi="Arial" w:cs="Arial"/>
            <w:color w:val="1155CC"/>
            <w:u w:val="single"/>
          </w:rPr>
          <w:t>Regulation on the Governance of Energy Union and Climate Action</w:t>
        </w:r>
      </w:hyperlink>
      <w:r w:rsidR="00FD194F" w:rsidRPr="00FD194F">
        <w:rPr>
          <w:rFonts w:ascii="Arial" w:eastAsia="Times New Roman" w:hAnsi="Arial" w:cs="Arial"/>
          <w:color w:val="000000"/>
        </w:rPr>
        <w:t xml:space="preserve"> by the end of 2022, governments need to step up their work and efforts to develop fully compliant NECPs in a timely and inclusive process, concludes the assessment report by CAN Europe. </w:t>
      </w:r>
    </w:p>
    <w:p w:rsidR="00FD194F" w:rsidRPr="00FD194F" w:rsidRDefault="00FD194F" w:rsidP="00FD194F">
      <w:pPr>
        <w:spacing w:before="240" w:after="240" w:line="240" w:lineRule="auto"/>
        <w:jc w:val="both"/>
        <w:rPr>
          <w:rFonts w:ascii="Times New Roman" w:eastAsia="Times New Roman" w:hAnsi="Times New Roman" w:cs="Times New Roman"/>
          <w:sz w:val="24"/>
          <w:szCs w:val="24"/>
        </w:rPr>
      </w:pPr>
      <w:r w:rsidRPr="00FD194F">
        <w:rPr>
          <w:rFonts w:ascii="Arial" w:eastAsia="Times New Roman" w:hAnsi="Arial" w:cs="Arial"/>
          <w:b/>
          <w:bCs/>
          <w:color w:val="000000"/>
        </w:rPr>
        <w:t xml:space="preserve">Albania’s </w:t>
      </w:r>
      <w:r w:rsidR="00DD1DF9" w:rsidRPr="00C52536">
        <w:rPr>
          <w:rFonts w:ascii="Arial" w:eastAsia="Times New Roman" w:hAnsi="Arial" w:cs="Arial"/>
          <w:b/>
          <w:bCs/>
          <w:color w:val="000000"/>
        </w:rPr>
        <w:t>NECP</w:t>
      </w:r>
      <w:r w:rsidRPr="00FD194F">
        <w:rPr>
          <w:rFonts w:ascii="Arial" w:eastAsia="Times New Roman" w:hAnsi="Arial" w:cs="Arial"/>
          <w:b/>
          <w:bCs/>
          <w:color w:val="000000"/>
        </w:rPr>
        <w:t>- crucial steps missing</w:t>
      </w:r>
    </w:p>
    <w:p w:rsidR="00FD194F" w:rsidRPr="00FD194F" w:rsidRDefault="00FD194F" w:rsidP="00FD194F">
      <w:pPr>
        <w:spacing w:before="240" w:after="24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 xml:space="preserve">According to the analysis in the case of Albania, </w:t>
      </w:r>
      <w:r w:rsidRPr="00FD194F">
        <w:rPr>
          <w:rFonts w:ascii="Arial" w:eastAsia="Times New Roman" w:hAnsi="Arial" w:cs="Arial"/>
          <w:color w:val="000000"/>
          <w:shd w:val="clear" w:color="auto" w:fill="FFFFFF"/>
        </w:rPr>
        <w:t xml:space="preserve">there are still plenty of crucial improvements to ensure the plan is apt to lead the country towards achieving 2030 climate targets. </w:t>
      </w:r>
      <w:r w:rsidRPr="00FD194F">
        <w:rPr>
          <w:rFonts w:ascii="Arial" w:eastAsia="Times New Roman" w:hAnsi="Arial" w:cs="Arial"/>
          <w:color w:val="000000"/>
        </w:rPr>
        <w:t xml:space="preserve">Overall, there is a lack of ambition, and in particular with regards to reducing greenhouse gases. There is a clear need for the existing policies and measures to be further developed and </w:t>
      </w:r>
      <w:proofErr w:type="spellStart"/>
      <w:r w:rsidRPr="00FD194F">
        <w:rPr>
          <w:rFonts w:ascii="Arial" w:eastAsia="Times New Roman" w:hAnsi="Arial" w:cs="Arial"/>
          <w:color w:val="000000"/>
        </w:rPr>
        <w:t>harmonised</w:t>
      </w:r>
      <w:proofErr w:type="spellEnd"/>
      <w:r w:rsidRPr="00FD194F">
        <w:rPr>
          <w:rFonts w:ascii="Arial" w:eastAsia="Times New Roman" w:hAnsi="Arial" w:cs="Arial"/>
          <w:color w:val="000000"/>
        </w:rPr>
        <w:t xml:space="preserve"> with other strategic documents, while new ones still need to be created and properly integrated into the legal framework. Many of the envisaged policies and measures are only on a policy level and their </w:t>
      </w:r>
      <w:proofErr w:type="spellStart"/>
      <w:r w:rsidRPr="00FD194F">
        <w:rPr>
          <w:rFonts w:ascii="Arial" w:eastAsia="Times New Roman" w:hAnsi="Arial" w:cs="Arial"/>
          <w:color w:val="000000"/>
        </w:rPr>
        <w:t>operationalisation</w:t>
      </w:r>
      <w:proofErr w:type="spellEnd"/>
      <w:r w:rsidRPr="00FD194F">
        <w:rPr>
          <w:rFonts w:ascii="Arial" w:eastAsia="Times New Roman" w:hAnsi="Arial" w:cs="Arial"/>
          <w:color w:val="000000"/>
        </w:rPr>
        <w:t>, ways of securing appropriate funding and timelines are missing. The analysis shows concerns in the field of environmental and social impacts, as well as the need to improve the public consultations process to enable effective participation in the decision-making. Although Albania does not rely on coal as an energy source, the revised NECP should provide a clear long term pathway for phasing out all fossil fuel use and ensure that national growth is decoupled from carbon emitting processes. </w:t>
      </w:r>
    </w:p>
    <w:p w:rsidR="00FD194F" w:rsidRPr="00FD194F" w:rsidRDefault="00FD194F" w:rsidP="00FD194F">
      <w:pPr>
        <w:spacing w:before="240" w:after="240" w:line="240" w:lineRule="auto"/>
        <w:jc w:val="both"/>
        <w:rPr>
          <w:rFonts w:ascii="Times New Roman" w:eastAsia="Times New Roman" w:hAnsi="Times New Roman" w:cs="Times New Roman"/>
          <w:sz w:val="24"/>
          <w:szCs w:val="24"/>
        </w:rPr>
      </w:pPr>
      <w:r w:rsidRPr="00FD194F">
        <w:rPr>
          <w:rFonts w:ascii="Arial" w:eastAsia="Times New Roman" w:hAnsi="Arial" w:cs="Arial"/>
          <w:b/>
          <w:bCs/>
          <w:color w:val="000000"/>
        </w:rPr>
        <w:t>North Macedonia - Revision for precision</w:t>
      </w:r>
    </w:p>
    <w:p w:rsidR="00FD194F" w:rsidRPr="00FD194F" w:rsidRDefault="00FD194F" w:rsidP="00FD194F">
      <w:pPr>
        <w:spacing w:before="240" w:after="24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North Macedonia, seen as the regional climate action leader, has presented progressive climate and energy targets. However</w:t>
      </w:r>
      <w:r w:rsidR="004C119A">
        <w:rPr>
          <w:rFonts w:ascii="Arial" w:eastAsia="Times New Roman" w:hAnsi="Arial" w:cs="Arial"/>
          <w:color w:val="000000"/>
        </w:rPr>
        <w:t>,</w:t>
      </w:r>
      <w:r w:rsidRPr="00FD194F">
        <w:rPr>
          <w:rFonts w:ascii="Arial" w:eastAsia="Times New Roman" w:hAnsi="Arial" w:cs="Arial"/>
          <w:color w:val="000000"/>
        </w:rPr>
        <w:t xml:space="preserve"> the country was running late with NECP adoption as well as with developing accompanying documents for the implementation of the envisaged policies and measures, which hinders the plausibility of achieving the set targets. The coal phase out date envisaged in the document is only achievable if the revised NECP contains clear post-retirement plans for existing coal-powered plants, with exact timeline and financial resources secured. At the same time, many of the planned gas developments are not reflected in the emissions calculations. Furthermore, the development and consultation process of the NECP was exemplary, but failed to result in a public consultation report showcasing this engagement. The revised NECP needs to integrate the outcomes of the consultation process, as well as the findings of the environmental impact assessment, outlines CAN Europe report.  </w:t>
      </w:r>
    </w:p>
    <w:p w:rsidR="00FD194F" w:rsidRPr="00FD194F" w:rsidRDefault="00FD194F" w:rsidP="00FD194F">
      <w:pPr>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lastRenderedPageBreak/>
        <w:t>“</w:t>
      </w:r>
      <w:r w:rsidRPr="00FD194F">
        <w:rPr>
          <w:rFonts w:ascii="Arial" w:eastAsia="Times New Roman" w:hAnsi="Arial" w:cs="Arial"/>
          <w:i/>
          <w:iCs/>
          <w:color w:val="000000"/>
        </w:rPr>
        <w:t>As is evident from the already submitted climate and energy plans, as well as the implications of the energy crisis that is affecting the Western Balkans region, it is of utmost importance that the revised and new plans tackle regional aspects of energy and climate planning more thoroughly. They need to be developed in a coordinated approach, using the opportunities for cross-border and regional cooperation to their full potential. This would significantly enhance synergies and avoid the duplication of capacities and infrastructure. Increased regional cooperation and trade will enhance efficiency, energy security and bring economies-of-scale in investments, which is crucial for the achievement of ambitious targets. Despite the delayed deadline there is no time to lose. It is imperative that our leaders immediately move beyond political declarations and tackle the multiple crises hitting the region</w:t>
      </w:r>
      <w:r w:rsidRPr="00FD194F">
        <w:rPr>
          <w:rFonts w:ascii="Arial" w:eastAsia="Times New Roman" w:hAnsi="Arial" w:cs="Arial"/>
          <w:color w:val="000000"/>
        </w:rPr>
        <w:t xml:space="preserve">”, says Frosina Antonovska, Western Balkans </w:t>
      </w:r>
      <w:r w:rsidR="00DD1DF9" w:rsidRPr="004C119A">
        <w:rPr>
          <w:rFonts w:ascii="Arial" w:eastAsia="Times New Roman" w:hAnsi="Arial" w:cs="Arial"/>
          <w:color w:val="000000"/>
        </w:rPr>
        <w:t>Energy and Climate</w:t>
      </w:r>
      <w:r w:rsidR="00DD1DF9">
        <w:rPr>
          <w:rFonts w:ascii="Arial" w:eastAsia="Times New Roman" w:hAnsi="Arial" w:cs="Arial"/>
          <w:color w:val="000000"/>
        </w:rPr>
        <w:t xml:space="preserve"> </w:t>
      </w:r>
      <w:r w:rsidRPr="00FD194F">
        <w:rPr>
          <w:rFonts w:ascii="Arial" w:eastAsia="Times New Roman" w:hAnsi="Arial" w:cs="Arial"/>
          <w:color w:val="000000"/>
        </w:rPr>
        <w:t>Policy Officer at CAN Europe.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 xml:space="preserve">In the wider context National Climate and Energy Plans are also relevant for limiting the global temperature </w:t>
      </w:r>
      <w:r w:rsidR="004C119A">
        <w:rPr>
          <w:rFonts w:ascii="Arial" w:eastAsia="Times New Roman" w:hAnsi="Arial" w:cs="Arial"/>
          <w:color w:val="000000"/>
        </w:rPr>
        <w:t>rise to 1.5°</w:t>
      </w:r>
      <w:r w:rsidR="006A74F1">
        <w:rPr>
          <w:rFonts w:ascii="Arial" w:eastAsia="Times New Roman" w:hAnsi="Arial" w:cs="Arial"/>
          <w:color w:val="000000"/>
        </w:rPr>
        <w:t>C</w:t>
      </w:r>
      <w:r w:rsidRPr="00FD194F">
        <w:rPr>
          <w:rFonts w:ascii="Arial" w:eastAsia="Times New Roman" w:hAnsi="Arial" w:cs="Arial"/>
          <w:color w:val="000000"/>
        </w:rPr>
        <w:t>, and keeping us safe from adverse climate change impacts, which is currently discussed at the UN Climate Summit in Egypt.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B50624" w:rsidRDefault="00FD194F" w:rsidP="00B50624">
      <w:pPr>
        <w:pStyle w:val="ListParagraph"/>
        <w:numPr>
          <w:ilvl w:val="0"/>
          <w:numId w:val="11"/>
        </w:numPr>
        <w:spacing w:after="0" w:line="240" w:lineRule="auto"/>
        <w:textAlignment w:val="baseline"/>
        <w:rPr>
          <w:rFonts w:ascii="Arial" w:eastAsia="Times New Roman" w:hAnsi="Arial" w:cs="Arial"/>
          <w:color w:val="000000"/>
        </w:rPr>
      </w:pPr>
      <w:r w:rsidRPr="00B50624">
        <w:rPr>
          <w:rFonts w:ascii="Arial" w:eastAsia="Times New Roman" w:hAnsi="Arial" w:cs="Arial"/>
          <w:color w:val="000000"/>
        </w:rPr>
        <w:t>ENDS -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rPr>
          <w:rFonts w:ascii="Times New Roman" w:eastAsia="Times New Roman" w:hAnsi="Times New Roman" w:cs="Times New Roman"/>
          <w:sz w:val="24"/>
          <w:szCs w:val="24"/>
        </w:rPr>
      </w:pPr>
      <w:r w:rsidRPr="00FD194F">
        <w:rPr>
          <w:rFonts w:ascii="Arial" w:eastAsia="Times New Roman" w:hAnsi="Arial" w:cs="Arial"/>
          <w:b/>
          <w:bCs/>
          <w:color w:val="000000"/>
        </w:rPr>
        <w:t>NOTES FOR EDITORS </w:t>
      </w:r>
    </w:p>
    <w:p w:rsidR="00FD194F" w:rsidRPr="00FD194F" w:rsidRDefault="00FD194F" w:rsidP="00FD194F">
      <w:pPr>
        <w:spacing w:after="0" w:line="240" w:lineRule="auto"/>
        <w:rPr>
          <w:rFonts w:ascii="Times New Roman" w:eastAsia="Times New Roman" w:hAnsi="Times New Roman" w:cs="Times New Roman"/>
          <w:sz w:val="24"/>
          <w:szCs w:val="24"/>
        </w:rPr>
      </w:pPr>
    </w:p>
    <w:p w:rsidR="00B50624" w:rsidRDefault="00B50624" w:rsidP="00B50624">
      <w:pPr>
        <w:pStyle w:val="NormalWeb"/>
        <w:shd w:val="clear" w:color="auto" w:fill="FFFFFF"/>
        <w:spacing w:before="0" w:beforeAutospacing="0" w:after="0" w:afterAutospacing="0"/>
        <w:rPr>
          <w:rFonts w:ascii="Verdana" w:hAnsi="Verdana"/>
          <w:color w:val="0B5394"/>
        </w:rPr>
      </w:pPr>
      <w:r>
        <w:rPr>
          <w:rFonts w:ascii="Arial" w:hAnsi="Arial" w:cs="Arial"/>
          <w:b/>
          <w:bCs/>
          <w:color w:val="000000"/>
          <w:sz w:val="22"/>
          <w:szCs w:val="22"/>
        </w:rPr>
        <w:t xml:space="preserve">CAN Europe Progress Report on NECPs in Western </w:t>
      </w:r>
      <w:proofErr w:type="gramStart"/>
      <w:r>
        <w:rPr>
          <w:rFonts w:ascii="Arial" w:hAnsi="Arial" w:cs="Arial"/>
          <w:b/>
          <w:bCs/>
          <w:color w:val="000000"/>
          <w:sz w:val="22"/>
          <w:szCs w:val="22"/>
        </w:rPr>
        <w:t>Balkans</w:t>
      </w:r>
      <w:proofErr w:type="gramEnd"/>
    </w:p>
    <w:p w:rsidR="00B50624" w:rsidRDefault="00B50624" w:rsidP="00B50624">
      <w:pPr>
        <w:pStyle w:val="NormalWeb"/>
        <w:shd w:val="clear" w:color="auto" w:fill="FFFFFF"/>
        <w:spacing w:before="0" w:beforeAutospacing="0" w:after="0" w:afterAutospacing="0"/>
        <w:rPr>
          <w:rFonts w:ascii="Verdana" w:hAnsi="Verdana"/>
          <w:color w:val="0B5394"/>
        </w:rPr>
      </w:pPr>
      <w:hyperlink r:id="rId20" w:tgtFrame="_blank" w:history="1">
        <w:r>
          <w:rPr>
            <w:rStyle w:val="Hyperlink"/>
            <w:rFonts w:ascii="Arial" w:hAnsi="Arial" w:cs="Arial"/>
            <w:color w:val="1155CC"/>
            <w:sz w:val="22"/>
            <w:szCs w:val="22"/>
          </w:rPr>
          <w:t>https://caneurope.org/content/uploads/2022/11/NECP-report-Western-Balkans-3.pdf</w:t>
        </w:r>
      </w:hyperlink>
      <w:r>
        <w:rPr>
          <w:rFonts w:ascii="Arial" w:hAnsi="Arial" w:cs="Arial"/>
          <w:color w:val="000000"/>
          <w:sz w:val="22"/>
          <w:szCs w:val="22"/>
        </w:rPr>
        <w:t> </w:t>
      </w:r>
    </w:p>
    <w:p w:rsidR="00B50624" w:rsidRDefault="00B50624" w:rsidP="00FD194F">
      <w:pPr>
        <w:spacing w:after="0" w:line="240" w:lineRule="auto"/>
        <w:rPr>
          <w:rFonts w:ascii="Arial" w:eastAsia="Times New Roman" w:hAnsi="Arial" w:cs="Arial"/>
          <w:b/>
          <w:bCs/>
          <w:color w:val="000000"/>
        </w:rPr>
      </w:pPr>
    </w:p>
    <w:p w:rsidR="00B50624" w:rsidRPr="00FD194F" w:rsidRDefault="00B50624" w:rsidP="00FD194F">
      <w:pPr>
        <w:spacing w:after="0" w:line="240" w:lineRule="auto"/>
        <w:rPr>
          <w:rFonts w:ascii="Times New Roman" w:eastAsia="Times New Roman" w:hAnsi="Times New Roman" w:cs="Times New Roman"/>
          <w:sz w:val="24"/>
          <w:szCs w:val="24"/>
        </w:rPr>
      </w:pPr>
      <w:r>
        <w:rPr>
          <w:rFonts w:ascii="Arial" w:hAnsi="Arial" w:cs="Arial"/>
          <w:b/>
          <w:bCs/>
          <w:color w:val="000000"/>
        </w:rPr>
        <w:t>Sofia Declaration</w:t>
      </w:r>
      <w:r>
        <w:rPr>
          <w:rFonts w:ascii="Arial" w:hAnsi="Arial" w:cs="Arial"/>
          <w:color w:val="000000"/>
        </w:rPr>
        <w:t xml:space="preserve"> </w:t>
      </w:r>
      <w:hyperlink r:id="rId21" w:tgtFrame="_blank" w:history="1">
        <w:r>
          <w:rPr>
            <w:rStyle w:val="Hyperlink"/>
            <w:rFonts w:ascii="Arial" w:hAnsi="Arial" w:cs="Arial"/>
            <w:color w:val="1155CC"/>
            <w:sz w:val="23"/>
            <w:szCs w:val="23"/>
            <w:shd w:val="clear" w:color="auto" w:fill="F8F8F8"/>
          </w:rPr>
          <w:t>https://www.rcc.int/docs/546/sofia-declaration-on-the-green-agenda-for-the-western-balkans-rn</w:t>
        </w:r>
      </w:hyperlink>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rPr>
          <w:rFonts w:ascii="Times New Roman" w:eastAsia="Times New Roman" w:hAnsi="Times New Roman" w:cs="Times New Roman"/>
          <w:sz w:val="24"/>
          <w:szCs w:val="24"/>
        </w:rPr>
      </w:pPr>
      <w:r w:rsidRPr="00FD194F">
        <w:rPr>
          <w:rFonts w:ascii="Arial" w:eastAsia="Times New Roman" w:hAnsi="Arial" w:cs="Arial"/>
          <w:b/>
          <w:bCs/>
          <w:color w:val="000000"/>
        </w:rPr>
        <w:t xml:space="preserve">Energy Community Ministerial Council, December 2022 announcement </w:t>
      </w:r>
      <w:hyperlink r:id="rId22" w:history="1">
        <w:r w:rsidRPr="00FD194F">
          <w:rPr>
            <w:rFonts w:ascii="Arial" w:eastAsia="Times New Roman" w:hAnsi="Arial" w:cs="Arial"/>
            <w:color w:val="1155CC"/>
            <w:u w:val="single"/>
          </w:rPr>
          <w:t>https://www.energy-community.org/news/Energy-Community-News/2022/09/01.html</w:t>
        </w:r>
      </w:hyperlink>
      <w:r w:rsidRPr="00FD194F">
        <w:rPr>
          <w:rFonts w:ascii="Arial" w:eastAsia="Times New Roman" w:hAnsi="Arial" w:cs="Arial"/>
          <w:color w:val="000000"/>
        </w:rPr>
        <w:t>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rPr>
          <w:rFonts w:ascii="Times New Roman" w:eastAsia="Times New Roman" w:hAnsi="Times New Roman" w:cs="Times New Roman"/>
          <w:sz w:val="24"/>
          <w:szCs w:val="24"/>
        </w:rPr>
      </w:pPr>
      <w:r w:rsidRPr="00FD194F">
        <w:rPr>
          <w:rFonts w:ascii="Arial" w:eastAsia="Times New Roman" w:hAnsi="Arial" w:cs="Arial"/>
          <w:b/>
          <w:bCs/>
          <w:color w:val="000000"/>
        </w:rPr>
        <w:t xml:space="preserve">The Governance Regulation </w:t>
      </w:r>
      <w:hyperlink r:id="rId23" w:history="1">
        <w:r w:rsidRPr="00FD194F">
          <w:rPr>
            <w:rFonts w:ascii="Arial" w:eastAsia="Times New Roman" w:hAnsi="Arial" w:cs="Arial"/>
            <w:color w:val="1155CC"/>
            <w:u w:val="single"/>
          </w:rPr>
          <w:t>https://www.energy-community.org/dam/jcr:e24c911e-f0f6-4f26-a152-ec79d85ee1a4/REGULATION_EU_2018-1999.pdf</w:t>
        </w:r>
      </w:hyperlink>
      <w:r w:rsidRPr="00FD194F">
        <w:rPr>
          <w:rFonts w:ascii="Arial" w:eastAsia="Times New Roman" w:hAnsi="Arial" w:cs="Arial"/>
          <w:color w:val="000000"/>
        </w:rPr>
        <w:t> </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hd w:val="clear" w:color="auto" w:fill="FFFFFF"/>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b/>
          <w:bCs/>
          <w:color w:val="000000"/>
        </w:rPr>
        <w:t>National Energy and Climate Plans</w:t>
      </w:r>
      <w:r w:rsidRPr="00FD194F">
        <w:rPr>
          <w:rFonts w:ascii="Arial" w:eastAsia="Times New Roman" w:hAnsi="Arial" w:cs="Arial"/>
          <w:color w:val="000000"/>
        </w:rPr>
        <w:t> </w:t>
      </w:r>
    </w:p>
    <w:p w:rsidR="00FD194F" w:rsidRPr="00FD194F" w:rsidRDefault="00FD194F" w:rsidP="00FD194F">
      <w:pPr>
        <w:shd w:val="clear" w:color="auto" w:fill="FFFFFF"/>
        <w:spacing w:after="280" w:line="240" w:lineRule="auto"/>
        <w:jc w:val="both"/>
        <w:rPr>
          <w:rFonts w:ascii="Times New Roman" w:eastAsia="Times New Roman" w:hAnsi="Times New Roman" w:cs="Times New Roman"/>
          <w:sz w:val="24"/>
          <w:szCs w:val="24"/>
        </w:rPr>
      </w:pPr>
      <w:r w:rsidRPr="00FD194F">
        <w:rPr>
          <w:rFonts w:ascii="Arial" w:eastAsia="Times New Roman" w:hAnsi="Arial" w:cs="Arial"/>
          <w:b/>
          <w:bCs/>
          <w:color w:val="000000"/>
        </w:rPr>
        <w:t>National Energy and Climate Plans</w:t>
      </w:r>
      <w:r w:rsidRPr="00FD194F">
        <w:rPr>
          <w:rFonts w:ascii="Arial" w:eastAsia="Times New Roman" w:hAnsi="Arial" w:cs="Arial"/>
          <w:color w:val="000000"/>
        </w:rPr>
        <w:t xml:space="preserve"> are documents which serve to implement concrete targeted and timely activities in a country. They are 10-year integrated cross sectoral plans that provide the necessary coordination across all government sectors, but also the timely involvement and participation of many other stakeholders, which should result in a level of planning that will ease public and private investment. Each Plan needs to address the framework set by the Energy Union, </w:t>
      </w:r>
      <w:r w:rsidRPr="00FD194F">
        <w:rPr>
          <w:rFonts w:ascii="Arial" w:eastAsia="Times New Roman" w:hAnsi="Arial" w:cs="Arial"/>
          <w:color w:val="000000"/>
          <w:shd w:val="clear" w:color="auto" w:fill="FFFFFF"/>
        </w:rPr>
        <w:t>based on the three long-established objectives of EU energy policy: security of supply, sustainability and competitiveness.</w:t>
      </w:r>
      <w:r w:rsidRPr="00FD194F">
        <w:rPr>
          <w:rFonts w:ascii="Arial" w:eastAsia="Times New Roman" w:hAnsi="Arial" w:cs="Arial"/>
          <w:color w:val="000000"/>
        </w:rPr>
        <w:t xml:space="preserve"> </w:t>
      </w:r>
      <w:r w:rsidRPr="00FD194F">
        <w:rPr>
          <w:rFonts w:ascii="Arial" w:eastAsia="Times New Roman" w:hAnsi="Arial" w:cs="Arial"/>
          <w:color w:val="000000"/>
          <w:shd w:val="clear" w:color="auto" w:fill="FFFFFF"/>
        </w:rPr>
        <w:t>To reach these objectives, the Energy Union focuses on the five mutually supportive dimensions:</w:t>
      </w:r>
    </w:p>
    <w:p w:rsidR="00FD194F" w:rsidRPr="00FD194F" w:rsidRDefault="00FD194F" w:rsidP="00FD194F">
      <w:pPr>
        <w:numPr>
          <w:ilvl w:val="0"/>
          <w:numId w:val="8"/>
        </w:numPr>
        <w:shd w:val="clear" w:color="auto" w:fill="FFFFFF"/>
        <w:spacing w:after="0" w:line="240" w:lineRule="auto"/>
        <w:jc w:val="both"/>
        <w:textAlignment w:val="baseline"/>
        <w:rPr>
          <w:rFonts w:ascii="Arial" w:eastAsia="Times New Roman" w:hAnsi="Arial" w:cs="Arial"/>
          <w:color w:val="000000"/>
        </w:rPr>
      </w:pPr>
      <w:proofErr w:type="spellStart"/>
      <w:r w:rsidRPr="00FD194F">
        <w:rPr>
          <w:rFonts w:ascii="Arial" w:eastAsia="Times New Roman" w:hAnsi="Arial" w:cs="Arial"/>
          <w:color w:val="000000"/>
        </w:rPr>
        <w:t>decarbonisation</w:t>
      </w:r>
      <w:proofErr w:type="spellEnd"/>
      <w:r w:rsidRPr="00FD194F">
        <w:rPr>
          <w:rFonts w:ascii="Arial" w:eastAsia="Times New Roman" w:hAnsi="Arial" w:cs="Arial"/>
          <w:color w:val="000000"/>
        </w:rPr>
        <w:t xml:space="preserve"> (including renewable energy);</w:t>
      </w:r>
    </w:p>
    <w:p w:rsidR="00FD194F" w:rsidRPr="00FD194F" w:rsidRDefault="00FD194F" w:rsidP="00FD194F">
      <w:pPr>
        <w:numPr>
          <w:ilvl w:val="0"/>
          <w:numId w:val="8"/>
        </w:numPr>
        <w:shd w:val="clear" w:color="auto" w:fill="FFFFFF"/>
        <w:spacing w:after="0" w:line="240" w:lineRule="auto"/>
        <w:jc w:val="both"/>
        <w:textAlignment w:val="baseline"/>
        <w:rPr>
          <w:rFonts w:ascii="Arial" w:eastAsia="Times New Roman" w:hAnsi="Arial" w:cs="Arial"/>
          <w:color w:val="000000"/>
        </w:rPr>
      </w:pPr>
      <w:r w:rsidRPr="00FD194F">
        <w:rPr>
          <w:rFonts w:ascii="Arial" w:eastAsia="Times New Roman" w:hAnsi="Arial" w:cs="Arial"/>
          <w:color w:val="000000"/>
        </w:rPr>
        <w:t>energy efficiency;</w:t>
      </w:r>
    </w:p>
    <w:p w:rsidR="00FD194F" w:rsidRPr="00FD194F" w:rsidRDefault="00FD194F" w:rsidP="00FD194F">
      <w:pPr>
        <w:numPr>
          <w:ilvl w:val="0"/>
          <w:numId w:val="8"/>
        </w:numPr>
        <w:shd w:val="clear" w:color="auto" w:fill="FFFFFF"/>
        <w:spacing w:after="0" w:line="240" w:lineRule="auto"/>
        <w:jc w:val="both"/>
        <w:textAlignment w:val="baseline"/>
        <w:rPr>
          <w:rFonts w:ascii="Arial" w:eastAsia="Times New Roman" w:hAnsi="Arial" w:cs="Arial"/>
          <w:color w:val="000000"/>
        </w:rPr>
      </w:pPr>
      <w:r w:rsidRPr="00FD194F">
        <w:rPr>
          <w:rFonts w:ascii="Arial" w:eastAsia="Times New Roman" w:hAnsi="Arial" w:cs="Arial"/>
          <w:color w:val="000000"/>
        </w:rPr>
        <w:t>energy security;</w:t>
      </w:r>
    </w:p>
    <w:p w:rsidR="00FD194F" w:rsidRPr="00FD194F" w:rsidRDefault="00FD194F" w:rsidP="00FD194F">
      <w:pPr>
        <w:numPr>
          <w:ilvl w:val="0"/>
          <w:numId w:val="8"/>
        </w:numPr>
        <w:shd w:val="clear" w:color="auto" w:fill="FFFFFF"/>
        <w:spacing w:after="0" w:line="240" w:lineRule="auto"/>
        <w:jc w:val="both"/>
        <w:textAlignment w:val="baseline"/>
        <w:rPr>
          <w:rFonts w:ascii="Arial" w:eastAsia="Times New Roman" w:hAnsi="Arial" w:cs="Arial"/>
          <w:color w:val="000000"/>
        </w:rPr>
      </w:pPr>
      <w:r w:rsidRPr="00FD194F">
        <w:rPr>
          <w:rFonts w:ascii="Arial" w:eastAsia="Times New Roman" w:hAnsi="Arial" w:cs="Arial"/>
          <w:color w:val="000000"/>
        </w:rPr>
        <w:t>internal energy market; and</w:t>
      </w:r>
    </w:p>
    <w:p w:rsidR="00FD194F" w:rsidRPr="00FD194F" w:rsidRDefault="00FD194F" w:rsidP="00FD194F">
      <w:pPr>
        <w:numPr>
          <w:ilvl w:val="0"/>
          <w:numId w:val="8"/>
        </w:numPr>
        <w:shd w:val="clear" w:color="auto" w:fill="FFFFFF"/>
        <w:spacing w:after="0" w:line="240" w:lineRule="auto"/>
        <w:jc w:val="both"/>
        <w:textAlignment w:val="baseline"/>
        <w:rPr>
          <w:rFonts w:ascii="Arial" w:eastAsia="Times New Roman" w:hAnsi="Arial" w:cs="Arial"/>
          <w:color w:val="000000"/>
        </w:rPr>
      </w:pPr>
      <w:r w:rsidRPr="00FD194F">
        <w:rPr>
          <w:rFonts w:ascii="Arial" w:eastAsia="Times New Roman" w:hAnsi="Arial" w:cs="Arial"/>
          <w:color w:val="000000"/>
        </w:rPr>
        <w:t>research, innovation, and competitiveness.</w:t>
      </w:r>
    </w:p>
    <w:p w:rsidR="00FD194F" w:rsidRPr="00FD194F" w:rsidRDefault="00FD194F" w:rsidP="00FD194F">
      <w:pPr>
        <w:shd w:val="clear" w:color="auto" w:fill="FFFFFF"/>
        <w:spacing w:before="280" w:after="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 xml:space="preserve">The EU has a clear and legally binding framework regarding these plans. The goal is to deliver on the 2030 climate and energy targets set by the EU legislation and contribute </w:t>
      </w:r>
      <w:proofErr w:type="gramStart"/>
      <w:r w:rsidRPr="00FD194F">
        <w:rPr>
          <w:rFonts w:ascii="Arial" w:eastAsia="Times New Roman" w:hAnsi="Arial" w:cs="Arial"/>
          <w:color w:val="000000"/>
        </w:rPr>
        <w:t>to  achieving</w:t>
      </w:r>
      <w:proofErr w:type="gramEnd"/>
      <w:r w:rsidRPr="00FD194F">
        <w:rPr>
          <w:rFonts w:ascii="Arial" w:eastAsia="Times New Roman" w:hAnsi="Arial" w:cs="Arial"/>
          <w:color w:val="000000"/>
        </w:rPr>
        <w:t xml:space="preserve"> the </w:t>
      </w:r>
      <w:r w:rsidRPr="00FD194F">
        <w:rPr>
          <w:rFonts w:ascii="Arial" w:eastAsia="Times New Roman" w:hAnsi="Arial" w:cs="Arial"/>
          <w:color w:val="000000"/>
        </w:rPr>
        <w:lastRenderedPageBreak/>
        <w:t>global long term goal of  the Paris Agreement. As such, starting from 2018, the EU Member States are required to prepare their integrated energy and climate plans, with the aim to deliver specific energy efficiency, renewable energy development, and greenhouse gas emissions reduction goals, while at the same time addressing the synergies between the cross-cutting issues, as well as research and innovation in energy and climate related policies and measures.</w:t>
      </w:r>
    </w:p>
    <w:p w:rsidR="00FD194F" w:rsidRPr="00FD194F" w:rsidRDefault="00FD194F" w:rsidP="00FD194F">
      <w:pPr>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b/>
          <w:bCs/>
          <w:color w:val="000000"/>
        </w:rPr>
        <w:t>The formal process for creating and adopting NECPs in the Western Balkans</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The Energy Community (</w:t>
      </w:r>
      <w:proofErr w:type="spellStart"/>
      <w:r w:rsidRPr="00FD194F">
        <w:rPr>
          <w:rFonts w:ascii="Arial" w:eastAsia="Times New Roman" w:hAnsi="Arial" w:cs="Arial"/>
          <w:color w:val="000000"/>
        </w:rPr>
        <w:t>EnC</w:t>
      </w:r>
      <w:proofErr w:type="spellEnd"/>
      <w:r w:rsidRPr="00FD194F">
        <w:rPr>
          <w:rFonts w:ascii="Arial" w:eastAsia="Times New Roman" w:hAnsi="Arial" w:cs="Arial"/>
          <w:color w:val="000000"/>
        </w:rPr>
        <w:t>) Secretariat facilitates this process of developing and adopting NECPs by issuing recommendations on the content and structure of the national plans, as well as the process for their adoption and review. It introduced a schedule for submitting the Draft and the adopted NECPs to the Energy Community Secretariat, as well as for submitting NECP Updates and Integrated Progress Reports. In view of the submission of the final national plans by the Contracting Parties, the Secretariat also issues recommendations on draft national plans. According to the set timeline the first final NECPs should have been adopted by the end of 2020. The entire process is regulated by the EU Governance Regulation.</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before="240" w:after="240" w:line="240" w:lineRule="auto"/>
        <w:jc w:val="both"/>
        <w:rPr>
          <w:rFonts w:ascii="Times New Roman" w:eastAsia="Times New Roman" w:hAnsi="Times New Roman" w:cs="Times New Roman"/>
          <w:sz w:val="24"/>
          <w:szCs w:val="24"/>
        </w:rPr>
      </w:pPr>
      <w:r w:rsidRPr="00FD194F">
        <w:rPr>
          <w:rFonts w:ascii="Arial" w:eastAsia="Times New Roman" w:hAnsi="Arial" w:cs="Arial"/>
          <w:b/>
          <w:bCs/>
          <w:color w:val="000000"/>
        </w:rPr>
        <w:t>CAN Europe evaluation for measuring the effectiveness of NECPs</w:t>
      </w:r>
    </w:p>
    <w:p w:rsidR="00FD194F" w:rsidRPr="00FD194F" w:rsidRDefault="00FD194F" w:rsidP="00FD194F">
      <w:pPr>
        <w:spacing w:before="240" w:after="240" w:line="240" w:lineRule="auto"/>
        <w:jc w:val="both"/>
        <w:rPr>
          <w:rFonts w:ascii="Times New Roman" w:eastAsia="Times New Roman" w:hAnsi="Times New Roman" w:cs="Times New Roman"/>
          <w:sz w:val="24"/>
          <w:szCs w:val="24"/>
        </w:rPr>
      </w:pPr>
      <w:r w:rsidRPr="00FD194F">
        <w:rPr>
          <w:rFonts w:ascii="Arial" w:eastAsia="Times New Roman" w:hAnsi="Arial" w:cs="Arial"/>
          <w:color w:val="000000"/>
        </w:rPr>
        <w:t xml:space="preserve">CAN Europe designed a qualitative evaluation tool for the adopted NECPs focusing on 5 key </w:t>
      </w:r>
      <w:proofErr w:type="gramStart"/>
      <w:r w:rsidRPr="00FD194F">
        <w:rPr>
          <w:rFonts w:ascii="Arial" w:eastAsia="Times New Roman" w:hAnsi="Arial" w:cs="Arial"/>
          <w:color w:val="000000"/>
        </w:rPr>
        <w:t>segments:</w:t>
      </w:r>
      <w:proofErr w:type="gramEnd"/>
      <w:r w:rsidRPr="00FD194F">
        <w:rPr>
          <w:rFonts w:ascii="Arial" w:eastAsia="Times New Roman" w:hAnsi="Arial" w:cs="Arial"/>
          <w:color w:val="000000"/>
        </w:rPr>
        <w:t> </w:t>
      </w:r>
    </w:p>
    <w:p w:rsidR="00FD194F" w:rsidRPr="00FD194F" w:rsidRDefault="00FD194F" w:rsidP="00FD194F">
      <w:pPr>
        <w:numPr>
          <w:ilvl w:val="0"/>
          <w:numId w:val="9"/>
        </w:numPr>
        <w:spacing w:before="240" w:after="0" w:line="240" w:lineRule="auto"/>
        <w:ind w:left="927"/>
        <w:jc w:val="both"/>
        <w:textAlignment w:val="baseline"/>
        <w:rPr>
          <w:rFonts w:ascii="Arial" w:eastAsia="Times New Roman" w:hAnsi="Arial" w:cs="Arial"/>
          <w:color w:val="000000"/>
        </w:rPr>
      </w:pPr>
      <w:r w:rsidRPr="00FD194F">
        <w:rPr>
          <w:rFonts w:ascii="Arial" w:eastAsia="Times New Roman" w:hAnsi="Arial" w:cs="Arial"/>
          <w:color w:val="000000"/>
        </w:rPr>
        <w:t>Stated climate and energy ambition: evaluation of the greenhouse gas (GHG) emission reduction, renewable energy and energy efficiency goals; </w:t>
      </w:r>
    </w:p>
    <w:p w:rsidR="00FD194F" w:rsidRPr="00FD194F" w:rsidRDefault="00FD194F" w:rsidP="00FD194F">
      <w:pPr>
        <w:numPr>
          <w:ilvl w:val="0"/>
          <w:numId w:val="9"/>
        </w:numPr>
        <w:spacing w:after="0" w:line="240" w:lineRule="auto"/>
        <w:ind w:left="927"/>
        <w:jc w:val="both"/>
        <w:textAlignment w:val="baseline"/>
        <w:rPr>
          <w:rFonts w:ascii="Arial" w:eastAsia="Times New Roman" w:hAnsi="Arial" w:cs="Arial"/>
          <w:color w:val="000000"/>
        </w:rPr>
      </w:pPr>
      <w:r w:rsidRPr="00FD194F">
        <w:rPr>
          <w:rFonts w:ascii="Arial" w:eastAsia="Times New Roman" w:hAnsi="Arial" w:cs="Arial"/>
          <w:color w:val="000000"/>
        </w:rPr>
        <w:t xml:space="preserve">Consistency: the conformity with the Governance Regulation, the coherence between the NECP and other policies and strategies, as well as compatibility with fossil fuels phase out is </w:t>
      </w:r>
      <w:proofErr w:type="spellStart"/>
      <w:r w:rsidRPr="00FD194F">
        <w:rPr>
          <w:rFonts w:ascii="Arial" w:eastAsia="Times New Roman" w:hAnsi="Arial" w:cs="Arial"/>
          <w:color w:val="000000"/>
        </w:rPr>
        <w:t>analysed</w:t>
      </w:r>
      <w:proofErr w:type="spellEnd"/>
      <w:r w:rsidRPr="00FD194F">
        <w:rPr>
          <w:rFonts w:ascii="Arial" w:eastAsia="Times New Roman" w:hAnsi="Arial" w:cs="Arial"/>
          <w:color w:val="000000"/>
        </w:rPr>
        <w:t>;</w:t>
      </w:r>
    </w:p>
    <w:p w:rsidR="00FD194F" w:rsidRPr="00FD194F" w:rsidRDefault="00FD194F" w:rsidP="00FD194F">
      <w:pPr>
        <w:numPr>
          <w:ilvl w:val="0"/>
          <w:numId w:val="9"/>
        </w:numPr>
        <w:spacing w:after="0" w:line="240" w:lineRule="auto"/>
        <w:ind w:left="927"/>
        <w:jc w:val="both"/>
        <w:textAlignment w:val="baseline"/>
        <w:rPr>
          <w:rFonts w:ascii="Arial" w:eastAsia="Times New Roman" w:hAnsi="Arial" w:cs="Arial"/>
          <w:color w:val="000000"/>
        </w:rPr>
      </w:pPr>
      <w:r w:rsidRPr="00FD194F">
        <w:rPr>
          <w:rFonts w:ascii="Arial" w:eastAsia="Times New Roman" w:hAnsi="Arial" w:cs="Arial"/>
          <w:color w:val="000000"/>
        </w:rPr>
        <w:t>Credibility: is assessed through the finance allocated for the achievement of the climate and energy target, the specific policies and measures, the social and environmental effects;</w:t>
      </w:r>
    </w:p>
    <w:p w:rsidR="00FD194F" w:rsidRPr="00FD194F" w:rsidRDefault="00FD194F" w:rsidP="00FD194F">
      <w:pPr>
        <w:numPr>
          <w:ilvl w:val="0"/>
          <w:numId w:val="9"/>
        </w:numPr>
        <w:spacing w:after="0" w:line="240" w:lineRule="auto"/>
        <w:ind w:left="927"/>
        <w:jc w:val="both"/>
        <w:textAlignment w:val="baseline"/>
        <w:rPr>
          <w:rFonts w:ascii="Arial" w:eastAsia="Times New Roman" w:hAnsi="Arial" w:cs="Arial"/>
          <w:color w:val="000000"/>
        </w:rPr>
      </w:pPr>
      <w:r w:rsidRPr="00FD194F">
        <w:rPr>
          <w:rFonts w:ascii="Arial" w:eastAsia="Times New Roman" w:hAnsi="Arial" w:cs="Arial"/>
          <w:color w:val="000000"/>
        </w:rPr>
        <w:t>Transparency: evaluation of the effectiveness of public consultation and multi stakeholder engagement;</w:t>
      </w:r>
    </w:p>
    <w:p w:rsidR="00FD194F" w:rsidRPr="00FD194F" w:rsidRDefault="00FD194F" w:rsidP="00FD194F">
      <w:pPr>
        <w:numPr>
          <w:ilvl w:val="0"/>
          <w:numId w:val="9"/>
        </w:numPr>
        <w:spacing w:after="240" w:line="240" w:lineRule="auto"/>
        <w:ind w:left="927"/>
        <w:jc w:val="both"/>
        <w:textAlignment w:val="baseline"/>
        <w:rPr>
          <w:rFonts w:ascii="Arial" w:eastAsia="Times New Roman" w:hAnsi="Arial" w:cs="Arial"/>
          <w:color w:val="000000"/>
        </w:rPr>
      </w:pPr>
      <w:r w:rsidRPr="00FD194F">
        <w:rPr>
          <w:rFonts w:ascii="Arial" w:eastAsia="Times New Roman" w:hAnsi="Arial" w:cs="Arial"/>
          <w:color w:val="000000"/>
        </w:rPr>
        <w:t>Regional aspects: examining if the NECPs complement and, where possible, reinforce each other. </w:t>
      </w:r>
    </w:p>
    <w:p w:rsidR="00FD194F" w:rsidRPr="00FD194F" w:rsidRDefault="00FD194F" w:rsidP="00FD194F">
      <w:pPr>
        <w:spacing w:after="0" w:line="240" w:lineRule="auto"/>
        <w:rPr>
          <w:rFonts w:ascii="Times New Roman" w:eastAsia="Times New Roman" w:hAnsi="Times New Roman" w:cs="Times New Roman"/>
          <w:sz w:val="24"/>
          <w:szCs w:val="24"/>
        </w:rPr>
      </w:pPr>
      <w:r w:rsidRPr="00FD194F">
        <w:rPr>
          <w:rFonts w:ascii="Arial" w:eastAsia="Times New Roman" w:hAnsi="Arial" w:cs="Arial"/>
          <w:b/>
          <w:bCs/>
          <w:color w:val="000000"/>
        </w:rPr>
        <w:t>CONTACT</w:t>
      </w:r>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FD194F">
      <w:pPr>
        <w:spacing w:after="0" w:line="240" w:lineRule="auto"/>
        <w:rPr>
          <w:rFonts w:ascii="Times New Roman" w:eastAsia="Times New Roman" w:hAnsi="Times New Roman" w:cs="Times New Roman"/>
          <w:sz w:val="24"/>
          <w:szCs w:val="24"/>
        </w:rPr>
      </w:pPr>
      <w:r w:rsidRPr="00FD194F">
        <w:rPr>
          <w:rFonts w:ascii="Arial" w:eastAsia="Times New Roman" w:hAnsi="Arial" w:cs="Arial"/>
          <w:color w:val="000000"/>
        </w:rPr>
        <w:t xml:space="preserve">Frosina Antonovska, </w:t>
      </w:r>
      <w:r w:rsidR="003D1BAD" w:rsidRPr="00C52536">
        <w:rPr>
          <w:rFonts w:ascii="Arial" w:eastAsia="Times New Roman" w:hAnsi="Arial" w:cs="Arial"/>
          <w:color w:val="000000"/>
        </w:rPr>
        <w:t>Energy and Climate</w:t>
      </w:r>
      <w:r w:rsidR="003D1BAD">
        <w:rPr>
          <w:rFonts w:ascii="Arial" w:eastAsia="Times New Roman" w:hAnsi="Arial" w:cs="Arial"/>
          <w:color w:val="000000"/>
        </w:rPr>
        <w:t xml:space="preserve"> </w:t>
      </w:r>
      <w:r w:rsidRPr="00FD194F">
        <w:rPr>
          <w:rFonts w:ascii="Arial" w:eastAsia="Times New Roman" w:hAnsi="Arial" w:cs="Arial"/>
          <w:color w:val="000000"/>
        </w:rPr>
        <w:t xml:space="preserve">Policy Officer for Western Balkans, CAN Europe, </w:t>
      </w:r>
      <w:hyperlink r:id="rId24" w:history="1">
        <w:r w:rsidRPr="00FD194F">
          <w:rPr>
            <w:rFonts w:ascii="Arial" w:eastAsia="Times New Roman" w:hAnsi="Arial" w:cs="Arial"/>
            <w:color w:val="1155CC"/>
            <w:u w:val="single"/>
          </w:rPr>
          <w:t>frosina.antonovska@caneurope.org</w:t>
        </w:r>
      </w:hyperlink>
    </w:p>
    <w:p w:rsidR="00FD194F" w:rsidRPr="00FD194F" w:rsidRDefault="00FD194F" w:rsidP="00FD194F">
      <w:pPr>
        <w:spacing w:after="0" w:line="240" w:lineRule="auto"/>
        <w:rPr>
          <w:rFonts w:ascii="Times New Roman" w:eastAsia="Times New Roman" w:hAnsi="Times New Roman" w:cs="Times New Roman"/>
          <w:sz w:val="24"/>
          <w:szCs w:val="24"/>
        </w:rPr>
      </w:pPr>
    </w:p>
    <w:p w:rsidR="00FD194F" w:rsidRPr="00FD194F" w:rsidRDefault="00FD194F" w:rsidP="004C119A">
      <w:pPr>
        <w:spacing w:after="0" w:line="240" w:lineRule="auto"/>
        <w:rPr>
          <w:rFonts w:ascii="Times New Roman" w:eastAsia="Times New Roman" w:hAnsi="Times New Roman" w:cs="Times New Roman"/>
          <w:sz w:val="24"/>
          <w:szCs w:val="24"/>
        </w:rPr>
      </w:pPr>
      <w:r w:rsidRPr="00FD194F">
        <w:rPr>
          <w:rFonts w:ascii="Arial" w:eastAsia="Times New Roman" w:hAnsi="Arial" w:cs="Arial"/>
          <w:color w:val="000000"/>
        </w:rPr>
        <w:t xml:space="preserve">Maša </w:t>
      </w:r>
      <w:proofErr w:type="spellStart"/>
      <w:r w:rsidRPr="00FD194F">
        <w:rPr>
          <w:rFonts w:ascii="Arial" w:eastAsia="Times New Roman" w:hAnsi="Arial" w:cs="Arial"/>
          <w:color w:val="000000"/>
        </w:rPr>
        <w:t>Perović</w:t>
      </w:r>
      <w:proofErr w:type="spellEnd"/>
      <w:r w:rsidRPr="00FD194F">
        <w:rPr>
          <w:rFonts w:ascii="Arial" w:eastAsia="Times New Roman" w:hAnsi="Arial" w:cs="Arial"/>
          <w:color w:val="000000"/>
        </w:rPr>
        <w:t>, Communic</w:t>
      </w:r>
      <w:r w:rsidR="004C119A">
        <w:rPr>
          <w:rFonts w:ascii="Arial" w:eastAsia="Times New Roman" w:hAnsi="Arial" w:cs="Arial"/>
          <w:color w:val="000000"/>
        </w:rPr>
        <w:t xml:space="preserve">ations Coordinator, CAN Europe </w:t>
      </w:r>
      <w:hyperlink r:id="rId25" w:history="1">
        <w:r w:rsidR="004C119A" w:rsidRPr="00D470A8">
          <w:rPr>
            <w:rStyle w:val="Hyperlink"/>
            <w:rFonts w:ascii="Arial" w:eastAsia="Times New Roman" w:hAnsi="Arial" w:cs="Arial"/>
          </w:rPr>
          <w:t>masha.perovic@caneurope.org</w:t>
        </w:r>
      </w:hyperlink>
      <w:r w:rsidRPr="00FD194F">
        <w:rPr>
          <w:rFonts w:ascii="Arial" w:eastAsia="Times New Roman" w:hAnsi="Arial" w:cs="Arial"/>
          <w:color w:val="000000"/>
        </w:rPr>
        <w:t> </w:t>
      </w:r>
      <w:r w:rsidR="004C119A">
        <w:rPr>
          <w:rFonts w:ascii="Arial" w:eastAsia="Times New Roman" w:hAnsi="Arial" w:cs="Arial"/>
          <w:color w:val="000000"/>
        </w:rPr>
        <w:t xml:space="preserve"> </w:t>
      </w:r>
      <w:r w:rsidR="004C119A">
        <w:rPr>
          <w:rFonts w:ascii="Arial" w:hAnsi="Arial" w:cs="Arial"/>
          <w:color w:val="000000"/>
        </w:rPr>
        <w:t>+381/638411566</w:t>
      </w:r>
    </w:p>
    <w:p w:rsidR="00FD194F" w:rsidRDefault="00FD194F">
      <w:pPr>
        <w:rPr>
          <w:lang w:val="mk-MK"/>
        </w:rPr>
      </w:pPr>
    </w:p>
    <w:p w:rsidR="00FD194F" w:rsidRPr="00B738B8" w:rsidRDefault="00FF1F03">
      <w:pPr>
        <w:rPr>
          <w:rFonts w:ascii="Arial" w:hAnsi="Arial" w:cs="Arial"/>
          <w:lang w:val="mk-MK"/>
        </w:rPr>
      </w:pPr>
      <w:r>
        <w:rPr>
          <w:rFonts w:ascii="Arial" w:hAnsi="Arial" w:cs="Arial"/>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-1724</wp:posOffset>
            </wp:positionV>
            <wp:extent cx="997174" cy="1094015"/>
            <wp:effectExtent l="0" t="0" r="0" b="0"/>
            <wp:wrapTight wrapText="bothSides">
              <wp:wrapPolygon edited="0">
                <wp:start x="0" y="0"/>
                <wp:lineTo x="0" y="21073"/>
                <wp:lineTo x="21050" y="21073"/>
                <wp:lineTo x="210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logo-rg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7174" cy="1094015"/>
                    </a:xfrm>
                    <a:prstGeom prst="rect">
                      <a:avLst/>
                    </a:prstGeom>
                  </pic:spPr>
                </pic:pic>
              </a:graphicData>
            </a:graphic>
          </wp:anchor>
        </w:drawing>
      </w:r>
    </w:p>
    <w:sectPr w:rsidR="00FD194F" w:rsidRPr="00B738B8" w:rsidSect="004C119A">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CB" w:rsidRDefault="000E19CB" w:rsidP="004C119A">
      <w:pPr>
        <w:spacing w:after="0" w:line="240" w:lineRule="auto"/>
      </w:pPr>
      <w:r>
        <w:separator/>
      </w:r>
    </w:p>
  </w:endnote>
  <w:endnote w:type="continuationSeparator" w:id="0">
    <w:p w:rsidR="000E19CB" w:rsidRDefault="000E19CB" w:rsidP="004C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CB" w:rsidRDefault="000E19CB" w:rsidP="004C119A">
      <w:pPr>
        <w:spacing w:after="0" w:line="240" w:lineRule="auto"/>
      </w:pPr>
      <w:r>
        <w:separator/>
      </w:r>
    </w:p>
  </w:footnote>
  <w:footnote w:type="continuationSeparator" w:id="0">
    <w:p w:rsidR="000E19CB" w:rsidRDefault="000E19CB" w:rsidP="004C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9A" w:rsidRDefault="004C119A">
    <w:pPr>
      <w:pStyle w:val="Heade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97952" cy="985157"/>
          <wp:effectExtent l="0" t="0" r="0" b="5715"/>
          <wp:wrapTight wrapText="bothSides">
            <wp:wrapPolygon edited="0">
              <wp:start x="0" y="0"/>
              <wp:lineTo x="0" y="21308"/>
              <wp:lineTo x="21081" y="21308"/>
              <wp:lineTo x="210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7952" cy="9851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1843"/>
    <w:multiLevelType w:val="multilevel"/>
    <w:tmpl w:val="F006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00A3"/>
    <w:multiLevelType w:val="multilevel"/>
    <w:tmpl w:val="5246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13171"/>
    <w:multiLevelType w:val="multilevel"/>
    <w:tmpl w:val="E28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158E6"/>
    <w:multiLevelType w:val="multilevel"/>
    <w:tmpl w:val="8674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0465F"/>
    <w:multiLevelType w:val="hybridMultilevel"/>
    <w:tmpl w:val="FA984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123B71"/>
    <w:multiLevelType w:val="multilevel"/>
    <w:tmpl w:val="3532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D36C2"/>
    <w:multiLevelType w:val="multilevel"/>
    <w:tmpl w:val="E108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72C61"/>
    <w:multiLevelType w:val="hybridMultilevel"/>
    <w:tmpl w:val="6804EB6E"/>
    <w:lvl w:ilvl="0" w:tplc="A5F64C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0759A"/>
    <w:multiLevelType w:val="multilevel"/>
    <w:tmpl w:val="B25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B2FF1"/>
    <w:multiLevelType w:val="multilevel"/>
    <w:tmpl w:val="E51E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215FE"/>
    <w:multiLevelType w:val="hybridMultilevel"/>
    <w:tmpl w:val="7846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10"/>
  </w:num>
  <w:num w:numId="6">
    <w:abstractNumId w:val="5"/>
  </w:num>
  <w:num w:numId="7">
    <w:abstractNumId w:val="6"/>
  </w:num>
  <w:num w:numId="8">
    <w:abstractNumId w:val="1"/>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B0"/>
    <w:rsid w:val="000754B8"/>
    <w:rsid w:val="000E19CB"/>
    <w:rsid w:val="00174CDE"/>
    <w:rsid w:val="001F6990"/>
    <w:rsid w:val="002018AF"/>
    <w:rsid w:val="002B7BB0"/>
    <w:rsid w:val="003438D0"/>
    <w:rsid w:val="003747CE"/>
    <w:rsid w:val="003D1BAD"/>
    <w:rsid w:val="004C119A"/>
    <w:rsid w:val="005D728F"/>
    <w:rsid w:val="005E2624"/>
    <w:rsid w:val="006A74F1"/>
    <w:rsid w:val="007060CD"/>
    <w:rsid w:val="007C6E3D"/>
    <w:rsid w:val="007E377B"/>
    <w:rsid w:val="00804492"/>
    <w:rsid w:val="008226E7"/>
    <w:rsid w:val="00A146E8"/>
    <w:rsid w:val="00A64371"/>
    <w:rsid w:val="00A9652C"/>
    <w:rsid w:val="00AF66CD"/>
    <w:rsid w:val="00B50624"/>
    <w:rsid w:val="00B738B8"/>
    <w:rsid w:val="00BF4F71"/>
    <w:rsid w:val="00C52536"/>
    <w:rsid w:val="00DD1DF9"/>
    <w:rsid w:val="00F3181E"/>
    <w:rsid w:val="00F95C21"/>
    <w:rsid w:val="00FD194F"/>
    <w:rsid w:val="00FF1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95ACB"/>
  <w15:chartTrackingRefBased/>
  <w15:docId w15:val="{7F1B0EC5-9A25-4CCC-B4DC-742E2048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B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7BB0"/>
    <w:rPr>
      <w:color w:val="0000FF"/>
      <w:u w:val="single"/>
    </w:rPr>
  </w:style>
  <w:style w:type="paragraph" w:styleId="ListParagraph">
    <w:name w:val="List Paragraph"/>
    <w:basedOn w:val="Normal"/>
    <w:uiPriority w:val="34"/>
    <w:qFormat/>
    <w:rsid w:val="003747CE"/>
    <w:pPr>
      <w:ind w:left="720"/>
      <w:contextualSpacing/>
    </w:pPr>
  </w:style>
  <w:style w:type="character" w:styleId="FollowedHyperlink">
    <w:name w:val="FollowedHyperlink"/>
    <w:basedOn w:val="DefaultParagraphFont"/>
    <w:uiPriority w:val="99"/>
    <w:semiHidden/>
    <w:unhideWhenUsed/>
    <w:rsid w:val="00174CDE"/>
    <w:rPr>
      <w:color w:val="954F72" w:themeColor="followedHyperlink"/>
      <w:u w:val="single"/>
    </w:rPr>
  </w:style>
  <w:style w:type="paragraph" w:styleId="Header">
    <w:name w:val="header"/>
    <w:basedOn w:val="Normal"/>
    <w:link w:val="HeaderChar"/>
    <w:uiPriority w:val="99"/>
    <w:unhideWhenUsed/>
    <w:rsid w:val="004C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19A"/>
  </w:style>
  <w:style w:type="paragraph" w:styleId="Footer">
    <w:name w:val="footer"/>
    <w:basedOn w:val="Normal"/>
    <w:link w:val="FooterChar"/>
    <w:uiPriority w:val="99"/>
    <w:unhideWhenUsed/>
    <w:rsid w:val="004C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5752">
      <w:bodyDiv w:val="1"/>
      <w:marLeft w:val="0"/>
      <w:marRight w:val="0"/>
      <w:marTop w:val="0"/>
      <w:marBottom w:val="0"/>
      <w:divBdr>
        <w:top w:val="none" w:sz="0" w:space="0" w:color="auto"/>
        <w:left w:val="none" w:sz="0" w:space="0" w:color="auto"/>
        <w:bottom w:val="none" w:sz="0" w:space="0" w:color="auto"/>
        <w:right w:val="none" w:sz="0" w:space="0" w:color="auto"/>
      </w:divBdr>
    </w:div>
    <w:div w:id="1322809644">
      <w:bodyDiv w:val="1"/>
      <w:marLeft w:val="0"/>
      <w:marRight w:val="0"/>
      <w:marTop w:val="0"/>
      <w:marBottom w:val="0"/>
      <w:divBdr>
        <w:top w:val="none" w:sz="0" w:space="0" w:color="auto"/>
        <w:left w:val="none" w:sz="0" w:space="0" w:color="auto"/>
        <w:bottom w:val="none" w:sz="0" w:space="0" w:color="auto"/>
        <w:right w:val="none" w:sz="0" w:space="0" w:color="auto"/>
      </w:divBdr>
    </w:div>
    <w:div w:id="13824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europe.org/wb-necp-report-2022/" TargetMode="External"/><Relationship Id="rId13" Type="http://schemas.openxmlformats.org/officeDocument/2006/relationships/hyperlink" Target="mailto:frosina.antonovska@caneurope.org" TargetMode="External"/><Relationship Id="rId18" Type="http://schemas.openxmlformats.org/officeDocument/2006/relationships/hyperlink" Target="https://www.energy-community.org/news/Energy-Community-News/2022/09/01.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cc.int/docs/546/sofia-declaration-on-the-green-agenda-for-the-western-balkans-rn" TargetMode="External"/><Relationship Id="rId7" Type="http://schemas.openxmlformats.org/officeDocument/2006/relationships/endnotes" Target="endnotes.xml"/><Relationship Id="rId12" Type="http://schemas.openxmlformats.org/officeDocument/2006/relationships/hyperlink" Target="https://www.energy-community.org/dam/jcr:e24c911e-f0f6-4f26-a152-ec79d85ee1a4/REGULATION_EU_2018-1999.pdf" TargetMode="External"/><Relationship Id="rId17" Type="http://schemas.openxmlformats.org/officeDocument/2006/relationships/hyperlink" Target="https://www.rcc.int/docs/546/sofia-declaration-on-the-green-agenda-for-the-western-balkans-rn" TargetMode="External"/><Relationship Id="rId25" Type="http://schemas.openxmlformats.org/officeDocument/2006/relationships/hyperlink" Target="mailto:masha.perovic@caneurope.org" TargetMode="External"/><Relationship Id="rId2" Type="http://schemas.openxmlformats.org/officeDocument/2006/relationships/numbering" Target="numbering.xml"/><Relationship Id="rId16" Type="http://schemas.openxmlformats.org/officeDocument/2006/relationships/hyperlink" Target="https://caneurope.org/content/uploads/2022/11/NECP-report-Western-Balkans-3.pdf" TargetMode="External"/><Relationship Id="rId20" Type="http://schemas.openxmlformats.org/officeDocument/2006/relationships/hyperlink" Target="https://caneurope.org/content/uploads/2022/11/NECP-report-Western-Balkans-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community.org/news/Energy-Community-News/2022/09/01.html" TargetMode="External"/><Relationship Id="rId24" Type="http://schemas.openxmlformats.org/officeDocument/2006/relationships/hyperlink" Target="mailto:frosina.antonovska@caneurope.org"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energy-community.org/dam/jcr:e24c911e-f0f6-4f26-a152-ec79d85ee1a4/REGULATION_EU_2018-1999.pdf" TargetMode="External"/><Relationship Id="rId28" Type="http://schemas.openxmlformats.org/officeDocument/2006/relationships/theme" Target="theme/theme1.xml"/><Relationship Id="rId10" Type="http://schemas.openxmlformats.org/officeDocument/2006/relationships/hyperlink" Target="https://www.rcc.int/docs/546/sofia-declaration-on-the-green-agenda-for-the-western-balkans-rn" TargetMode="External"/><Relationship Id="rId19" Type="http://schemas.openxmlformats.org/officeDocument/2006/relationships/hyperlink" Target="https://www.energy-community.org/dam/jcr:e24c911e-f0f6-4f26-a152-ec79d85ee1a4/REGULATION_EU_2018-1999.pdf" TargetMode="External"/><Relationship Id="rId4" Type="http://schemas.openxmlformats.org/officeDocument/2006/relationships/settings" Target="settings.xml"/><Relationship Id="rId9" Type="http://schemas.openxmlformats.org/officeDocument/2006/relationships/hyperlink" Target="https://caneurope.org/content/uploads/2022/11/NECP-report-Western-Balkans-3.pdf" TargetMode="External"/><Relationship Id="rId14" Type="http://schemas.openxmlformats.org/officeDocument/2006/relationships/hyperlink" Target="mailto:masha.perovic@caneurope.org" TargetMode="External"/><Relationship Id="rId22" Type="http://schemas.openxmlformats.org/officeDocument/2006/relationships/hyperlink" Target="https://www.energy-community.org/news/Energy-Community-News/2022/09/01.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802A-60E5-4CD0-8BAA-3E1B8B39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Frosina Antonovska</dc:creator>
  <cp:keywords/>
  <dc:description/>
  <cp:lastModifiedBy>Maša</cp:lastModifiedBy>
  <cp:revision>10</cp:revision>
  <dcterms:created xsi:type="dcterms:W3CDTF">2022-11-10T07:29:00Z</dcterms:created>
  <dcterms:modified xsi:type="dcterms:W3CDTF">2022-11-10T09:31:00Z</dcterms:modified>
</cp:coreProperties>
</file>